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D1426">
      <w:pPr>
        <w:widowControl/>
        <w:jc w:val="left"/>
        <w:rPr>
          <w:rFonts w:hint="eastAsia" w:ascii="黑体" w:hAnsi="黑体" w:eastAsia="黑体" w:cs="黑体"/>
          <w:b w:val="0"/>
          <w:bCs/>
          <w:color w:val="auto"/>
          <w:sz w:val="32"/>
          <w:szCs w:val="22"/>
          <w:highlight w:val="none"/>
          <w:lang w:eastAsia="zh-CN"/>
        </w:rPr>
      </w:pPr>
      <w:bookmarkStart w:id="23" w:name="_GoBack"/>
      <w:bookmarkEnd w:id="23"/>
      <w:bookmarkStart w:id="0" w:name="_Toc28335"/>
      <w:bookmarkStart w:id="1" w:name="_Toc26079"/>
      <w:bookmarkStart w:id="2" w:name="_Toc17055"/>
      <w:bookmarkStart w:id="3" w:name="_Toc12187"/>
      <w:bookmarkStart w:id="4" w:name="_Toc2828_WPSOffice_Level1"/>
      <w:bookmarkStart w:id="5" w:name="_Toc27025"/>
      <w:bookmarkStart w:id="6" w:name="_Toc19389"/>
      <w:bookmarkStart w:id="7" w:name="_Toc31365"/>
      <w:bookmarkStart w:id="8" w:name="_Toc25384"/>
      <w:bookmarkStart w:id="9" w:name="_Toc18925_WPSOffice_Level1"/>
      <w:bookmarkStart w:id="10" w:name="_Toc6563"/>
      <w:bookmarkStart w:id="11" w:name="_Toc20691"/>
      <w:r>
        <w:rPr>
          <w:rFonts w:hint="eastAsia" w:ascii="黑体" w:hAnsi="黑体" w:eastAsia="黑体" w:cs="黑体"/>
          <w:b w:val="0"/>
          <w:bCs/>
          <w:color w:val="auto"/>
          <w:sz w:val="32"/>
          <w:szCs w:val="22"/>
          <w:highlight w:val="none"/>
        </w:rPr>
        <w:t>广供电市〔2025〕34号</w:t>
      </w:r>
      <w:r>
        <w:rPr>
          <w:rFonts w:hint="eastAsia" w:ascii="黑体" w:hAnsi="黑体" w:eastAsia="黑体" w:cs="黑体"/>
          <w:b w:val="0"/>
          <w:bCs/>
          <w:color w:val="auto"/>
          <w:sz w:val="32"/>
          <w:szCs w:val="22"/>
          <w:highlight w:val="none"/>
          <w:lang w:eastAsia="zh-CN"/>
        </w:rPr>
        <w:t>附件</w:t>
      </w:r>
    </w:p>
    <w:p w14:paraId="751BA991">
      <w:pPr>
        <w:pStyle w:val="2"/>
        <w:rPr>
          <w:rFonts w:hint="eastAsia"/>
          <w:lang w:eastAsia="zh-CN"/>
        </w:rPr>
      </w:pPr>
    </w:p>
    <w:p w14:paraId="3EC6B443">
      <w:pPr>
        <w:widowControl/>
        <w:jc w:val="center"/>
        <w:rPr>
          <w:rFonts w:hint="default" w:ascii="方正小标宋_GBK" w:hAnsi="方正小标宋_GBK" w:eastAsia="方正小标宋_GBK" w:cs="方正小标宋_GBK"/>
          <w:b/>
          <w:color w:val="auto"/>
          <w:sz w:val="44"/>
          <w:szCs w:val="32"/>
          <w:highlight w:val="none"/>
          <w:lang w:val="en-US"/>
        </w:rPr>
      </w:pPr>
      <w:r>
        <w:rPr>
          <w:rFonts w:hint="eastAsia" w:ascii="方正小标宋_GBK" w:hAnsi="方正小标宋_GBK" w:eastAsia="方正小标宋_GBK" w:cs="方正小标宋_GBK"/>
          <w:b/>
          <w:color w:val="auto"/>
          <w:sz w:val="44"/>
          <w:szCs w:val="32"/>
          <w:highlight w:val="none"/>
        </w:rPr>
        <w:t>广州市虚拟电厂运营</w:t>
      </w:r>
      <w:r>
        <w:rPr>
          <w:rFonts w:hint="eastAsia" w:ascii="方正小标宋_GBK" w:hAnsi="方正小标宋_GBK" w:eastAsia="方正小标宋_GBK" w:cs="方正小标宋_GBK"/>
          <w:b/>
          <w:color w:val="auto"/>
          <w:sz w:val="44"/>
          <w:szCs w:val="32"/>
          <w:highlight w:val="none"/>
          <w:lang w:val="en-US" w:eastAsia="zh-CN"/>
        </w:rPr>
        <w:t>管理办法</w:t>
      </w:r>
    </w:p>
    <w:bookmarkEnd w:id="0"/>
    <w:bookmarkEnd w:id="1"/>
    <w:bookmarkEnd w:id="2"/>
    <w:bookmarkEnd w:id="3"/>
    <w:bookmarkEnd w:id="4"/>
    <w:bookmarkEnd w:id="5"/>
    <w:bookmarkEnd w:id="6"/>
    <w:bookmarkEnd w:id="7"/>
    <w:bookmarkEnd w:id="8"/>
    <w:bookmarkEnd w:id="9"/>
    <w:bookmarkEnd w:id="10"/>
    <w:bookmarkEnd w:id="11"/>
    <w:p w14:paraId="358E9AE7">
      <w:pPr>
        <w:jc w:val="center"/>
        <w:rPr>
          <w:rFonts w:hint="eastAsia"/>
          <w:color w:val="auto"/>
          <w:highlight w:val="none"/>
        </w:rPr>
      </w:pPr>
    </w:p>
    <w:p w14:paraId="23A26989">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总则</w:t>
      </w:r>
    </w:p>
    <w:p w14:paraId="2A7734B0">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[目标]为最大化挖掘广州市内资源可调节潜力，</w:t>
      </w:r>
      <w:r>
        <w:rPr>
          <w:rFonts w:hint="default" w:ascii="Times New Roman" w:hAnsi="Times New Roman" w:eastAsia="仿宋_GB2312" w:cs="Times New Roman"/>
          <w:bCs/>
          <w:color w:val="auto"/>
          <w:sz w:val="32"/>
          <w:szCs w:val="32"/>
          <w:highlight w:val="none"/>
        </w:rPr>
        <w:t>引导用户优化用电负荷、增强电网调节能力</w:t>
      </w:r>
      <w:r>
        <w:rPr>
          <w:rFonts w:ascii="Times New Roman" w:hAnsi="Times New Roman" w:eastAsia="仿宋_GB2312" w:cs="Times New Roman"/>
          <w:bCs/>
          <w:color w:val="auto"/>
          <w:sz w:val="32"/>
          <w:szCs w:val="32"/>
          <w:highlight w:val="none"/>
        </w:rPr>
        <w:t>、培育市内新能源消纳能力</w:t>
      </w: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推动新型电力系统建设、构建清洁低碳的能源体系，根据有关法律法规、政策，制定本</w:t>
      </w:r>
      <w:r>
        <w:rPr>
          <w:rFonts w:hint="eastAsia" w:ascii="Times New Roman" w:hAnsi="Times New Roman" w:eastAsia="仿宋_GB2312" w:cs="Times New Roman"/>
          <w:bCs/>
          <w:color w:val="auto"/>
          <w:sz w:val="32"/>
          <w:szCs w:val="32"/>
          <w:highlight w:val="none"/>
          <w:lang w:val="en-US" w:eastAsia="zh-CN"/>
        </w:rPr>
        <w:t>办法</w:t>
      </w:r>
      <w:r>
        <w:rPr>
          <w:rFonts w:hint="default" w:ascii="Times New Roman" w:hAnsi="Times New Roman" w:eastAsia="仿宋_GB2312" w:cs="Times New Roman"/>
          <w:bCs/>
          <w:color w:val="auto"/>
          <w:sz w:val="32"/>
          <w:szCs w:val="32"/>
          <w:highlight w:val="none"/>
        </w:rPr>
        <w:t>。</w:t>
      </w:r>
    </w:p>
    <w:p w14:paraId="642FD4B4">
      <w:pPr>
        <w:pStyle w:val="33"/>
        <w:numPr>
          <w:ilvl w:val="0"/>
          <w:numId w:val="0"/>
        </w:numPr>
        <w:tabs>
          <w:tab w:val="left" w:pos="6720"/>
        </w:tabs>
        <w:spacing w:line="560" w:lineRule="exact"/>
        <w:ind w:left="479" w:leftChars="228"/>
        <w:rPr>
          <w:rFonts w:hint="default" w:ascii="Times New Roman" w:hAnsi="Times New Roman" w:eastAsia="仿宋_GB2312" w:cs="Times New Roman"/>
          <w:bCs/>
          <w:color w:val="auto"/>
          <w:sz w:val="32"/>
          <w:szCs w:val="32"/>
          <w:highlight w:val="none"/>
        </w:rPr>
      </w:pPr>
    </w:p>
    <w:p w14:paraId="43C568D7">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hint="eastAsia" w:ascii="Times New Roman" w:hAnsi="Times New Roman" w:eastAsia="黑体" w:cs="Times New Roman"/>
          <w:b w:val="0"/>
          <w:bCs/>
          <w:color w:val="auto"/>
          <w:sz w:val="32"/>
          <w:szCs w:val="32"/>
          <w:highlight w:val="none"/>
          <w:lang w:eastAsia="zh-CN"/>
        </w:rPr>
        <w:t>制度依据</w:t>
      </w:r>
    </w:p>
    <w:p w14:paraId="145F8D3F">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[依据]</w:t>
      </w:r>
      <w:r>
        <w:rPr>
          <w:rFonts w:ascii="Times New Roman" w:hAnsi="Times New Roman" w:eastAsia="仿宋" w:cs="Times New Roman"/>
          <w:bCs/>
          <w:color w:val="auto"/>
          <w:sz w:val="32"/>
          <w:szCs w:val="32"/>
          <w:highlight w:val="none"/>
        </w:rPr>
        <w:t>本</w:t>
      </w:r>
      <w:r>
        <w:rPr>
          <w:rFonts w:hint="eastAsia" w:ascii="Times New Roman" w:hAnsi="Times New Roman" w:eastAsia="仿宋" w:cs="Times New Roman"/>
          <w:bCs/>
          <w:color w:val="auto"/>
          <w:sz w:val="32"/>
          <w:szCs w:val="32"/>
          <w:highlight w:val="none"/>
          <w:lang w:val="en-US" w:eastAsia="zh-CN"/>
        </w:rPr>
        <w:t>办法</w:t>
      </w:r>
      <w:r>
        <w:rPr>
          <w:rFonts w:hint="default" w:ascii="Times New Roman" w:hAnsi="Times New Roman" w:eastAsia="仿宋" w:cs="Times New Roman"/>
          <w:bCs/>
          <w:color w:val="auto"/>
          <w:sz w:val="32"/>
          <w:szCs w:val="32"/>
          <w:highlight w:val="none"/>
        </w:rPr>
        <w:t>依据以下政策、规章</w:t>
      </w:r>
      <w:r>
        <w:rPr>
          <w:rFonts w:ascii="Times New Roman" w:hAnsi="Times New Roman" w:eastAsia="仿宋" w:cs="Times New Roman"/>
          <w:bCs/>
          <w:color w:val="auto"/>
          <w:sz w:val="32"/>
          <w:szCs w:val="32"/>
          <w:highlight w:val="none"/>
        </w:rPr>
        <w:t>等内容</w:t>
      </w:r>
      <w:r>
        <w:rPr>
          <w:rFonts w:hint="default" w:ascii="Times New Roman" w:hAnsi="Times New Roman" w:eastAsia="仿宋" w:cs="Times New Roman"/>
          <w:bCs/>
          <w:color w:val="auto"/>
          <w:sz w:val="32"/>
          <w:szCs w:val="32"/>
          <w:highlight w:val="none"/>
        </w:rPr>
        <w:t>制定：</w:t>
      </w:r>
    </w:p>
    <w:p w14:paraId="3657F99B">
      <w:pPr>
        <w:pStyle w:val="31"/>
        <w:adjustRightInd/>
        <w:snapToGrid/>
        <w:ind w:firstLine="640" w:firstLineChars="0"/>
        <w:rPr>
          <w:rFonts w:hint="eastAsia" w:ascii="Times New Roman" w:hAnsi="Times New Roman" w:eastAsia="仿宋_GB2312" w:cs="Times New Roman"/>
          <w:bCs/>
          <w:color w:val="auto"/>
          <w:sz w:val="32"/>
          <w:szCs w:val="32"/>
          <w:highlight w:val="none"/>
        </w:rPr>
      </w:pPr>
      <w:r>
        <w:rPr>
          <w:rFonts w:hint="eastAsia" w:ascii="Times New Roman" w:hAnsi="Times New Roman" w:eastAsia="仿宋_GB2312" w:cs="Times New Roman"/>
          <w:bCs/>
          <w:color w:val="auto"/>
          <w:sz w:val="32"/>
          <w:szCs w:val="32"/>
          <w:highlight w:val="none"/>
        </w:rPr>
        <w:t>《电力需求侧管理办法（2023年版）》（发改运行规〔2023〕1283号）</w:t>
      </w:r>
      <w:r>
        <w:rPr>
          <w:rFonts w:ascii="Times New Roman" w:hAnsi="Times New Roman" w:eastAsia="仿宋_GB2312" w:cs="Times New Roman"/>
          <w:bCs/>
          <w:color w:val="auto"/>
          <w:sz w:val="32"/>
          <w:szCs w:val="32"/>
          <w:highlight w:val="none"/>
        </w:rPr>
        <w:t>《电力负荷管理办法</w:t>
      </w:r>
      <w:r>
        <w:rPr>
          <w:rFonts w:hint="eastAsia"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2023版</w:t>
      </w:r>
      <w:r>
        <w:rPr>
          <w:rFonts w:hint="eastAsia"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发改运行规</w:t>
      </w:r>
      <w:r>
        <w:rPr>
          <w:rFonts w:hint="eastAsia" w:ascii="Times New Roman" w:hAnsi="Times New Roman" w:eastAsia="仿宋_GB2312" w:cs="Times New Roman"/>
          <w:bCs/>
          <w:color w:val="auto"/>
          <w:sz w:val="32"/>
          <w:szCs w:val="32"/>
          <w:highlight w:val="none"/>
        </w:rPr>
        <w:t>〔2023〕1261号）《关于加快推进虚拟电厂发展的指导意见》（发改能源〔2025〕357号）《关于支持电力领域新型经营主体创新发展的指导意见》（国能发法改〔2024〕93号）《广东省虚拟电厂参与电力市场交易实施方案》（粤能电力〔2024〕48号）《广州市虚拟电厂高质量发展实施方案》（</w:t>
      </w:r>
      <w:r>
        <w:rPr>
          <w:rFonts w:hint="eastAsia" w:ascii="Times New Roman" w:hAnsi="Times New Roman" w:eastAsia="仿宋_GB2312" w:cs="Times New Roman"/>
          <w:bCs/>
          <w:color w:val="auto"/>
          <w:sz w:val="32"/>
          <w:szCs w:val="32"/>
          <w:highlight w:val="none"/>
          <w:lang w:val="en-US" w:eastAsia="zh-CN"/>
        </w:rPr>
        <w:t>穗工信函</w:t>
      </w:r>
      <w:r>
        <w:rPr>
          <w:rFonts w:hint="eastAsia" w:ascii="Times New Roman" w:hAnsi="Times New Roman" w:eastAsia="仿宋_GB2312" w:cs="Times New Roman"/>
          <w:bCs/>
          <w:color w:val="auto"/>
          <w:sz w:val="32"/>
          <w:szCs w:val="32"/>
          <w:highlight w:val="none"/>
        </w:rPr>
        <w:t>〔2025〕</w:t>
      </w:r>
      <w:r>
        <w:rPr>
          <w:rFonts w:hint="eastAsia" w:ascii="Times New Roman" w:hAnsi="Times New Roman" w:eastAsia="仿宋_GB2312" w:cs="Times New Roman"/>
          <w:bCs/>
          <w:color w:val="auto"/>
          <w:sz w:val="32"/>
          <w:szCs w:val="32"/>
          <w:highlight w:val="none"/>
          <w:lang w:val="en-US" w:eastAsia="zh-CN"/>
        </w:rPr>
        <w:t>181</w:t>
      </w:r>
      <w:r>
        <w:rPr>
          <w:rFonts w:hint="eastAsia" w:ascii="Times New Roman" w:hAnsi="Times New Roman" w:eastAsia="仿宋_GB2312" w:cs="Times New Roman"/>
          <w:bCs/>
          <w:color w:val="auto"/>
          <w:sz w:val="32"/>
          <w:szCs w:val="32"/>
          <w:highlight w:val="none"/>
        </w:rPr>
        <w:t>号）《广州市虚拟电厂运行实施细则》（</w:t>
      </w:r>
      <w:r>
        <w:rPr>
          <w:rFonts w:hint="eastAsia" w:ascii="Times New Roman" w:hAnsi="Times New Roman" w:eastAsia="仿宋_GB2312" w:cs="Times New Roman"/>
          <w:bCs/>
          <w:color w:val="auto"/>
          <w:sz w:val="32"/>
          <w:szCs w:val="32"/>
          <w:highlight w:val="none"/>
          <w:lang w:val="en-US" w:eastAsia="zh-CN"/>
        </w:rPr>
        <w:t>穗工信函</w:t>
      </w:r>
      <w:r>
        <w:rPr>
          <w:rFonts w:hint="eastAsia" w:ascii="Times New Roman" w:hAnsi="Times New Roman" w:eastAsia="仿宋_GB2312" w:cs="Times New Roman"/>
          <w:bCs/>
          <w:color w:val="auto"/>
          <w:sz w:val="32"/>
          <w:szCs w:val="32"/>
          <w:highlight w:val="none"/>
        </w:rPr>
        <w:t>〔2025〕</w:t>
      </w:r>
      <w:r>
        <w:rPr>
          <w:rFonts w:hint="eastAsia" w:ascii="Times New Roman" w:hAnsi="Times New Roman" w:eastAsia="仿宋_GB2312" w:cs="Times New Roman"/>
          <w:bCs/>
          <w:color w:val="auto"/>
          <w:sz w:val="32"/>
          <w:szCs w:val="32"/>
          <w:highlight w:val="none"/>
          <w:lang w:val="en-US" w:eastAsia="zh-CN"/>
        </w:rPr>
        <w:t>182</w:t>
      </w:r>
      <w:r>
        <w:rPr>
          <w:rFonts w:hint="eastAsia" w:ascii="Times New Roman" w:hAnsi="Times New Roman" w:eastAsia="仿宋_GB2312" w:cs="Times New Roman"/>
          <w:bCs/>
          <w:color w:val="auto"/>
          <w:sz w:val="32"/>
          <w:szCs w:val="32"/>
          <w:highlight w:val="none"/>
        </w:rPr>
        <w:t>号）。</w:t>
      </w:r>
    </w:p>
    <w:p w14:paraId="43032455">
      <w:pPr>
        <w:pStyle w:val="31"/>
        <w:adjustRightInd/>
        <w:snapToGrid/>
        <w:ind w:firstLine="640" w:firstLineChars="0"/>
        <w:rPr>
          <w:rFonts w:hint="eastAsia" w:ascii="Times New Roman" w:hAnsi="Times New Roman" w:eastAsia="仿宋_GB2312" w:cs="Times New Roman"/>
          <w:bCs/>
          <w:color w:val="auto"/>
          <w:sz w:val="32"/>
          <w:szCs w:val="32"/>
          <w:highlight w:val="none"/>
        </w:rPr>
      </w:pPr>
    </w:p>
    <w:p w14:paraId="293A71AA">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参与主体</w:t>
      </w:r>
      <w:r>
        <w:rPr>
          <w:rFonts w:hint="eastAsia" w:ascii="Times New Roman" w:hAnsi="Times New Roman" w:eastAsia="黑体" w:cs="Times New Roman"/>
          <w:b w:val="0"/>
          <w:bCs/>
          <w:color w:val="auto"/>
          <w:sz w:val="32"/>
          <w:szCs w:val="32"/>
          <w:highlight w:val="none"/>
          <w:lang w:eastAsia="zh-CN"/>
        </w:rPr>
        <w:t>及其</w:t>
      </w:r>
      <w:r>
        <w:rPr>
          <w:rFonts w:ascii="Times New Roman" w:hAnsi="Times New Roman" w:eastAsia="黑体" w:cs="Times New Roman"/>
          <w:b w:val="0"/>
          <w:bCs/>
          <w:color w:val="auto"/>
          <w:sz w:val="32"/>
          <w:szCs w:val="32"/>
          <w:highlight w:val="none"/>
        </w:rPr>
        <w:t>职责</w:t>
      </w:r>
    </w:p>
    <w:p w14:paraId="07997890">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参与主体主要包括</w:t>
      </w:r>
      <w:r>
        <w:rPr>
          <w:rFonts w:hint="eastAsia" w:ascii="Times New Roman" w:hAnsi="Times New Roman" w:eastAsia="仿宋_GB2312" w:cs="Times New Roman"/>
          <w:bCs/>
          <w:color w:val="auto"/>
          <w:sz w:val="32"/>
          <w:szCs w:val="32"/>
          <w:highlight w:val="none"/>
          <w:lang w:val="en-US" w:eastAsia="zh-CN"/>
        </w:rPr>
        <w:t>管理机构</w:t>
      </w:r>
      <w:r>
        <w:rPr>
          <w:rFonts w:ascii="Times New Roman" w:hAnsi="Times New Roman" w:eastAsia="仿宋_GB2312" w:cs="Times New Roman"/>
          <w:bCs/>
          <w:color w:val="auto"/>
          <w:sz w:val="32"/>
          <w:szCs w:val="32"/>
          <w:highlight w:val="none"/>
        </w:rPr>
        <w:t>、电网企业、调度机构、</w:t>
      </w:r>
      <w:r>
        <w:rPr>
          <w:rFonts w:hint="eastAsia" w:ascii="Times New Roman" w:hAnsi="Times New Roman" w:eastAsia="仿宋_GB2312" w:cs="Times New Roman"/>
          <w:bCs/>
          <w:color w:val="auto"/>
          <w:sz w:val="32"/>
          <w:szCs w:val="32"/>
          <w:highlight w:val="none"/>
          <w:lang w:eastAsia="zh-CN"/>
        </w:rPr>
        <w:t>响应主体（包括</w:t>
      </w:r>
      <w:r>
        <w:rPr>
          <w:rFonts w:hint="default" w:ascii="Times New Roman" w:hAnsi="Times New Roman" w:eastAsia="仿宋_GB2312" w:cs="Times New Roman"/>
          <w:bCs/>
          <w:color w:val="auto"/>
          <w:sz w:val="32"/>
          <w:szCs w:val="32"/>
          <w:highlight w:val="none"/>
        </w:rPr>
        <w:t>虚拟电厂运营商</w:t>
      </w:r>
      <w:r>
        <w:rPr>
          <w:rFonts w:hint="eastAsia" w:ascii="Times New Roman" w:hAnsi="Times New Roman" w:eastAsia="仿宋_GB2312" w:cs="Times New Roman"/>
          <w:bCs/>
          <w:color w:val="auto"/>
          <w:sz w:val="32"/>
          <w:szCs w:val="32"/>
          <w:highlight w:val="none"/>
          <w:lang w:eastAsia="zh-CN"/>
        </w:rPr>
        <w:t>，用户）</w:t>
      </w:r>
      <w:r>
        <w:rPr>
          <w:rFonts w:ascii="Times New Roman" w:hAnsi="Times New Roman" w:eastAsia="仿宋_GB2312" w:cs="Times New Roman"/>
          <w:bCs/>
          <w:color w:val="auto"/>
          <w:sz w:val="32"/>
          <w:szCs w:val="32"/>
          <w:highlight w:val="none"/>
        </w:rPr>
        <w:t>。</w:t>
      </w:r>
    </w:p>
    <w:p w14:paraId="27F83A62">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管理机构</w:t>
      </w: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管理机构为广州市虚拟电厂管理中心（以下简称“管理中心”），暂设在</w:t>
      </w:r>
      <w:r>
        <w:rPr>
          <w:rFonts w:hint="eastAsia" w:ascii="Times New Roman" w:hAnsi="Times New Roman" w:eastAsia="仿宋_GB2312" w:cs="Times New Roman"/>
          <w:bCs/>
          <w:color w:val="auto"/>
          <w:sz w:val="32"/>
          <w:szCs w:val="32"/>
          <w:highlight w:val="none"/>
          <w:lang w:val="en-US" w:eastAsia="zh-CN"/>
        </w:rPr>
        <w:t>广东电网</w:t>
      </w:r>
      <w:r>
        <w:rPr>
          <w:rFonts w:ascii="Times New Roman" w:hAnsi="Times New Roman" w:eastAsia="仿宋_GB2312" w:cs="Times New Roman"/>
          <w:bCs/>
          <w:color w:val="auto"/>
          <w:sz w:val="32"/>
          <w:szCs w:val="32"/>
          <w:highlight w:val="none"/>
        </w:rPr>
        <w:t>广州供电局，</w:t>
      </w:r>
      <w:r>
        <w:rPr>
          <w:rFonts w:hint="eastAsia" w:ascii="Times New Roman" w:hAnsi="Times New Roman" w:eastAsia="仿宋_GB2312" w:cs="Times New Roman"/>
          <w:bCs/>
          <w:color w:val="auto"/>
          <w:sz w:val="32"/>
          <w:szCs w:val="32"/>
          <w:highlight w:val="none"/>
          <w:lang w:val="en-US" w:eastAsia="zh-CN"/>
        </w:rPr>
        <w:t>受广州</w:t>
      </w:r>
      <w:r>
        <w:rPr>
          <w:rFonts w:ascii="Times New Roman" w:hAnsi="Times New Roman" w:eastAsia="仿宋_GB2312" w:cs="Times New Roman"/>
          <w:bCs/>
          <w:color w:val="auto"/>
          <w:sz w:val="32"/>
          <w:szCs w:val="32"/>
          <w:highlight w:val="none"/>
        </w:rPr>
        <w:t>市</w:t>
      </w:r>
      <w:r>
        <w:rPr>
          <w:rFonts w:hint="eastAsia" w:ascii="Times New Roman" w:hAnsi="Times New Roman" w:eastAsia="仿宋_GB2312" w:cs="Times New Roman"/>
          <w:bCs/>
          <w:color w:val="auto"/>
          <w:sz w:val="32"/>
          <w:szCs w:val="32"/>
          <w:highlight w:val="none"/>
          <w:lang w:val="en-US" w:eastAsia="zh-CN"/>
        </w:rPr>
        <w:t>工业和信息化</w:t>
      </w:r>
      <w:r>
        <w:rPr>
          <w:rFonts w:ascii="Times New Roman" w:hAnsi="Times New Roman" w:eastAsia="仿宋_GB2312" w:cs="Times New Roman"/>
          <w:bCs/>
          <w:color w:val="auto"/>
          <w:sz w:val="32"/>
          <w:szCs w:val="32"/>
          <w:highlight w:val="none"/>
        </w:rPr>
        <w:t>局委托</w:t>
      </w:r>
      <w:r>
        <w:rPr>
          <w:rFonts w:hint="eastAsia" w:ascii="Times New Roman" w:hAnsi="Times New Roman" w:eastAsia="仿宋_GB2312" w:cs="Times New Roman"/>
          <w:bCs/>
          <w:color w:val="auto"/>
          <w:sz w:val="32"/>
          <w:szCs w:val="32"/>
          <w:highlight w:val="none"/>
          <w:lang w:eastAsia="zh-CN"/>
        </w:rPr>
        <w:t>，</w:t>
      </w:r>
      <w:r>
        <w:rPr>
          <w:rFonts w:ascii="Times New Roman" w:hAnsi="Times New Roman" w:eastAsia="仿宋_GB2312" w:cs="Times New Roman"/>
          <w:bCs/>
          <w:color w:val="auto"/>
          <w:sz w:val="32"/>
          <w:szCs w:val="32"/>
          <w:highlight w:val="none"/>
        </w:rPr>
        <w:t>负责广</w:t>
      </w:r>
      <w:r>
        <w:rPr>
          <w:rFonts w:hint="eastAsia" w:ascii="Times New Roman" w:hAnsi="Times New Roman" w:eastAsia="仿宋_GB2312" w:cs="Times New Roman"/>
          <w:bCs/>
          <w:color w:val="auto"/>
          <w:sz w:val="32"/>
          <w:szCs w:val="32"/>
          <w:highlight w:val="none"/>
          <w:lang w:eastAsia="zh-CN"/>
        </w:rPr>
        <w:t>州市</w:t>
      </w:r>
      <w:r>
        <w:rPr>
          <w:rFonts w:ascii="Times New Roman" w:hAnsi="Times New Roman" w:eastAsia="仿宋_GB2312" w:cs="Times New Roman"/>
          <w:bCs/>
          <w:color w:val="auto"/>
          <w:sz w:val="32"/>
          <w:szCs w:val="32"/>
          <w:highlight w:val="none"/>
        </w:rPr>
        <w:t>虚拟电厂运营管理平台（以下简称“虚拟电厂管理平台”）的建设和运维。</w:t>
      </w:r>
    </w:p>
    <w:p w14:paraId="4F983E31">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电网企业</w:t>
      </w: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电网企业为</w:t>
      </w:r>
      <w:r>
        <w:rPr>
          <w:rFonts w:hint="eastAsia" w:ascii="Times New Roman" w:hAnsi="Times New Roman" w:eastAsia="仿宋_GB2312" w:cs="Times New Roman"/>
          <w:bCs/>
          <w:color w:val="auto"/>
          <w:sz w:val="32"/>
          <w:szCs w:val="32"/>
          <w:highlight w:val="none"/>
          <w:lang w:val="en-US" w:eastAsia="zh-CN"/>
        </w:rPr>
        <w:t>广东电网</w:t>
      </w:r>
      <w:r>
        <w:rPr>
          <w:rFonts w:ascii="Times New Roman" w:hAnsi="Times New Roman" w:eastAsia="仿宋_GB2312" w:cs="Times New Roman"/>
          <w:bCs/>
          <w:color w:val="auto"/>
          <w:sz w:val="32"/>
          <w:szCs w:val="32"/>
          <w:highlight w:val="none"/>
        </w:rPr>
        <w:t>广州供电局，受</w:t>
      </w:r>
      <w:r>
        <w:rPr>
          <w:rFonts w:hint="eastAsia" w:ascii="Times New Roman" w:hAnsi="Times New Roman" w:eastAsia="仿宋_GB2312" w:cs="Times New Roman"/>
          <w:bCs/>
          <w:color w:val="auto"/>
          <w:sz w:val="32"/>
          <w:szCs w:val="32"/>
          <w:highlight w:val="none"/>
          <w:lang w:val="en-US" w:eastAsia="zh-CN"/>
        </w:rPr>
        <w:t>广州</w:t>
      </w:r>
      <w:r>
        <w:rPr>
          <w:rFonts w:hint="default" w:ascii="Times New Roman" w:hAnsi="Times New Roman" w:eastAsia="仿宋_GB2312" w:cs="Times New Roman"/>
          <w:color w:val="auto"/>
          <w:sz w:val="32"/>
          <w:szCs w:val="32"/>
          <w:highlight w:val="none"/>
          <w:lang w:bidi="ar"/>
        </w:rPr>
        <w:t>市工业和信息化局</w:t>
      </w:r>
      <w:r>
        <w:rPr>
          <w:rFonts w:ascii="Times New Roman" w:hAnsi="Times New Roman" w:eastAsia="仿宋_GB2312" w:cs="Times New Roman"/>
          <w:bCs/>
          <w:color w:val="auto"/>
          <w:sz w:val="32"/>
          <w:szCs w:val="32"/>
          <w:highlight w:val="none"/>
        </w:rPr>
        <w:t>委托对响应费用进行结算，负责对计量数据进行管理，按职责要求负责相关技术支持系统的建设运维。</w:t>
      </w:r>
    </w:p>
    <w:p w14:paraId="5CC3C1BF">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调度机构</w:t>
      </w: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调度机构为广州供电局电力调度控制中心，负责广州电网电力平衡分析、调节需求</w:t>
      </w:r>
      <w:r>
        <w:rPr>
          <w:rFonts w:hint="eastAsia" w:ascii="Times New Roman" w:hAnsi="Times New Roman" w:eastAsia="仿宋_GB2312" w:cs="Times New Roman"/>
          <w:bCs/>
          <w:color w:val="auto"/>
          <w:sz w:val="32"/>
          <w:szCs w:val="32"/>
          <w:highlight w:val="none"/>
          <w:lang w:val="en-US" w:eastAsia="zh-CN"/>
        </w:rPr>
        <w:t>预测</w:t>
      </w:r>
      <w:r>
        <w:rPr>
          <w:rFonts w:ascii="Times New Roman" w:hAnsi="Times New Roman" w:eastAsia="仿宋_GB2312" w:cs="Times New Roman"/>
          <w:bCs/>
          <w:color w:val="auto"/>
          <w:sz w:val="32"/>
          <w:szCs w:val="32"/>
          <w:highlight w:val="none"/>
        </w:rPr>
        <w:t>、安全校核，协同管理中心管控虚拟电厂。</w:t>
      </w:r>
    </w:p>
    <w:p w14:paraId="402899B3">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虚拟电厂运营商</w:t>
      </w: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虚拟电厂运营商根据</w:t>
      </w:r>
      <w:r>
        <w:rPr>
          <w:rFonts w:hint="eastAsia" w:ascii="Times New Roman" w:hAnsi="Times New Roman" w:eastAsia="仿宋_GB2312" w:cs="Times New Roman"/>
          <w:bCs/>
          <w:color w:val="auto"/>
          <w:sz w:val="32"/>
          <w:szCs w:val="32"/>
          <w:highlight w:val="none"/>
          <w:lang w:val="en-US" w:eastAsia="zh-CN"/>
        </w:rPr>
        <w:t>广东电力交易中心或</w:t>
      </w:r>
      <w:r>
        <w:rPr>
          <w:rFonts w:ascii="Times New Roman" w:hAnsi="Times New Roman" w:eastAsia="仿宋_GB2312" w:cs="Times New Roman"/>
          <w:bCs/>
          <w:color w:val="auto"/>
          <w:sz w:val="32"/>
          <w:szCs w:val="32"/>
          <w:highlight w:val="none"/>
        </w:rPr>
        <w:t>管理中心相关要求办理手续，建立相应技术支持系统，负责聚合广州市内具备可调节能力的用户，签订和履行响应代理协议，组织聚合用户参与电网</w:t>
      </w:r>
      <w:r>
        <w:rPr>
          <w:rFonts w:hint="eastAsia" w:ascii="Times New Roman" w:hAnsi="Times New Roman" w:eastAsia="仿宋_GB2312" w:cs="Times New Roman"/>
          <w:bCs/>
          <w:color w:val="auto"/>
          <w:sz w:val="32"/>
          <w:szCs w:val="32"/>
          <w:highlight w:val="none"/>
          <w:lang w:val="en-US" w:eastAsia="zh-CN"/>
        </w:rPr>
        <w:t>响应</w:t>
      </w:r>
      <w:r>
        <w:rPr>
          <w:rFonts w:ascii="Times New Roman" w:hAnsi="Times New Roman" w:eastAsia="仿宋_GB2312" w:cs="Times New Roman"/>
          <w:bCs/>
          <w:color w:val="auto"/>
          <w:sz w:val="32"/>
          <w:szCs w:val="32"/>
          <w:highlight w:val="none"/>
        </w:rPr>
        <w:t>。已在广东</w:t>
      </w:r>
      <w:r>
        <w:rPr>
          <w:rFonts w:hint="eastAsia" w:ascii="Times New Roman" w:hAnsi="Times New Roman" w:eastAsia="仿宋_GB2312" w:cs="Times New Roman"/>
          <w:bCs/>
          <w:color w:val="auto"/>
          <w:sz w:val="32"/>
          <w:szCs w:val="32"/>
          <w:highlight w:val="none"/>
          <w:lang w:val="en-US" w:eastAsia="zh-CN"/>
        </w:rPr>
        <w:t>电力交易中心</w:t>
      </w:r>
      <w:r>
        <w:rPr>
          <w:rFonts w:ascii="Times New Roman" w:hAnsi="Times New Roman" w:eastAsia="仿宋_GB2312" w:cs="Times New Roman"/>
          <w:bCs/>
          <w:color w:val="auto"/>
          <w:sz w:val="32"/>
          <w:szCs w:val="32"/>
          <w:highlight w:val="none"/>
        </w:rPr>
        <w:t>完成注册的虚拟电厂运营商均可参与广州虚拟电厂响应服务，无需</w:t>
      </w:r>
      <w:r>
        <w:rPr>
          <w:rFonts w:hint="eastAsia" w:ascii="Times New Roman" w:hAnsi="Times New Roman" w:eastAsia="仿宋_GB2312" w:cs="Times New Roman"/>
          <w:bCs/>
          <w:color w:val="auto"/>
          <w:sz w:val="32"/>
          <w:szCs w:val="32"/>
          <w:highlight w:val="none"/>
          <w:lang w:val="en-US" w:eastAsia="zh-CN"/>
        </w:rPr>
        <w:t>重复登记</w:t>
      </w:r>
      <w:r>
        <w:rPr>
          <w:rFonts w:ascii="Times New Roman" w:hAnsi="Times New Roman" w:eastAsia="仿宋_GB2312" w:cs="Times New Roman"/>
          <w:bCs/>
          <w:color w:val="auto"/>
          <w:sz w:val="32"/>
          <w:szCs w:val="32"/>
          <w:highlight w:val="none"/>
        </w:rPr>
        <w:t>，按照管理中心要求办理相关手续并同步代理协议及广州市内可调节用户档案等信息。</w:t>
      </w:r>
    </w:p>
    <w:p w14:paraId="2753F7EA">
      <w:pPr>
        <w:pStyle w:val="33"/>
        <w:numPr>
          <w:ilvl w:val="255"/>
          <w:numId w:val="0"/>
        </w:numPr>
        <w:tabs>
          <w:tab w:val="left" w:pos="6720"/>
        </w:tabs>
        <w:adjustRightInd w:val="0"/>
        <w:snapToGrid w:val="0"/>
        <w:spacing w:line="560" w:lineRule="exact"/>
        <w:ind w:firstLine="640" w:firstLineChars="200"/>
        <w:rPr>
          <w:rFonts w:hint="default"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被聚合用户应具备独立结算户号，</w:t>
      </w:r>
      <w:r>
        <w:rPr>
          <w:rFonts w:ascii="Times New Roman" w:hAnsi="Times New Roman" w:eastAsia="仿宋_GB2312" w:cs="Times New Roman"/>
          <w:bCs/>
          <w:color w:val="auto"/>
          <w:sz w:val="32"/>
          <w:szCs w:val="32"/>
          <w:highlight w:val="none"/>
        </w:rPr>
        <w:t>同一个</w:t>
      </w:r>
      <w:r>
        <w:rPr>
          <w:rFonts w:hint="eastAsia" w:ascii="Times New Roman" w:hAnsi="Times New Roman" w:eastAsia="仿宋_GB2312" w:cs="Times New Roman"/>
          <w:bCs/>
          <w:color w:val="auto"/>
          <w:sz w:val="32"/>
          <w:szCs w:val="32"/>
          <w:highlight w:val="none"/>
          <w:lang w:eastAsia="zh-CN"/>
        </w:rPr>
        <w:t>用户</w:t>
      </w:r>
      <w:r>
        <w:rPr>
          <w:rFonts w:ascii="Times New Roman" w:hAnsi="Times New Roman" w:eastAsia="仿宋_GB2312" w:cs="Times New Roman"/>
          <w:bCs/>
          <w:color w:val="auto"/>
          <w:sz w:val="32"/>
          <w:szCs w:val="32"/>
          <w:highlight w:val="none"/>
        </w:rPr>
        <w:t>只能由一家虚拟电厂运营商代理。</w:t>
      </w:r>
      <w:r>
        <w:rPr>
          <w:rFonts w:hint="eastAsia" w:ascii="Times New Roman" w:hAnsi="Times New Roman" w:eastAsia="仿宋_GB2312" w:cs="Times New Roman"/>
          <w:bCs/>
          <w:color w:val="auto"/>
          <w:sz w:val="32"/>
          <w:szCs w:val="32"/>
          <w:highlight w:val="none"/>
          <w:lang w:val="en-US" w:eastAsia="zh-CN"/>
        </w:rPr>
        <w:t>虚拟电厂运营商与用户的代理关系以在广东电力交易中心备案的为准。</w:t>
      </w:r>
    </w:p>
    <w:p w14:paraId="769A6C3B">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eastAsia="zh-CN"/>
        </w:rPr>
        <w:t>用户</w:t>
      </w:r>
      <w:r>
        <w:rPr>
          <w:rFonts w:ascii="Times New Roman" w:hAnsi="Times New Roman" w:eastAsia="仿宋_GB2312" w:cs="Times New Roman"/>
          <w:bCs/>
          <w:color w:val="auto"/>
          <w:sz w:val="32"/>
          <w:szCs w:val="32"/>
          <w:highlight w:val="none"/>
        </w:rPr>
        <w:t>职责</w:t>
      </w:r>
      <w:r>
        <w:rPr>
          <w:rFonts w:hint="default"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eastAsia="zh-CN"/>
        </w:rPr>
        <w:t>用户</w:t>
      </w:r>
      <w:r>
        <w:rPr>
          <w:rFonts w:ascii="Times New Roman" w:hAnsi="Times New Roman" w:eastAsia="仿宋_GB2312" w:cs="Times New Roman"/>
          <w:bCs/>
          <w:color w:val="auto"/>
          <w:sz w:val="32"/>
          <w:szCs w:val="32"/>
          <w:highlight w:val="none"/>
        </w:rPr>
        <w:t>是指广州市内</w:t>
      </w:r>
      <w:r>
        <w:rPr>
          <w:rFonts w:hint="eastAsia" w:ascii="Times New Roman" w:hAnsi="Times New Roman" w:eastAsia="仿宋_GB2312" w:cs="Times New Roman"/>
          <w:bCs/>
          <w:color w:val="auto"/>
          <w:sz w:val="32"/>
          <w:szCs w:val="32"/>
          <w:highlight w:val="none"/>
          <w:lang w:val="en-US" w:eastAsia="zh-CN"/>
        </w:rPr>
        <w:t>具备</w:t>
      </w:r>
      <w:r>
        <w:rPr>
          <w:rFonts w:ascii="Times New Roman" w:hAnsi="Times New Roman" w:eastAsia="仿宋_GB2312" w:cs="Times New Roman"/>
          <w:bCs/>
          <w:color w:val="auto"/>
          <w:sz w:val="32"/>
          <w:szCs w:val="32"/>
          <w:highlight w:val="none"/>
        </w:rPr>
        <w:t>独立</w:t>
      </w:r>
      <w:r>
        <w:rPr>
          <w:rFonts w:hint="eastAsia" w:ascii="Times New Roman" w:hAnsi="Times New Roman" w:eastAsia="仿宋_GB2312" w:cs="Times New Roman"/>
          <w:bCs/>
          <w:color w:val="auto"/>
          <w:sz w:val="32"/>
          <w:szCs w:val="32"/>
          <w:highlight w:val="none"/>
          <w:lang w:val="en-US" w:eastAsia="zh-CN"/>
        </w:rPr>
        <w:t>结算户号</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根据</w:t>
      </w:r>
      <w:r>
        <w:rPr>
          <w:rFonts w:hint="eastAsia" w:ascii="Times New Roman" w:hAnsi="Times New Roman" w:eastAsia="仿宋_GB2312" w:cs="Times New Roman"/>
          <w:bCs/>
          <w:color w:val="auto"/>
          <w:sz w:val="32"/>
          <w:szCs w:val="32"/>
          <w:highlight w:val="none"/>
          <w:lang w:val="en-US" w:eastAsia="zh-CN"/>
        </w:rPr>
        <w:t>广东电力交易中心或</w:t>
      </w:r>
      <w:r>
        <w:rPr>
          <w:rFonts w:hint="default" w:ascii="Times New Roman" w:hAnsi="Times New Roman" w:eastAsia="仿宋_GB2312" w:cs="Times New Roman"/>
          <w:bCs/>
          <w:color w:val="auto"/>
          <w:sz w:val="32"/>
          <w:szCs w:val="32"/>
          <w:highlight w:val="none"/>
        </w:rPr>
        <w:t>管理中心相关要求</w:t>
      </w:r>
      <w:r>
        <w:rPr>
          <w:rFonts w:hint="eastAsia" w:ascii="Times New Roman" w:hAnsi="Times New Roman" w:eastAsia="仿宋_GB2312" w:cs="Times New Roman"/>
          <w:bCs/>
          <w:color w:val="auto"/>
          <w:sz w:val="32"/>
          <w:szCs w:val="32"/>
          <w:highlight w:val="none"/>
          <w:lang w:val="en-US" w:eastAsia="zh-CN"/>
        </w:rPr>
        <w:t>与虚拟电厂运营商</w:t>
      </w:r>
      <w:r>
        <w:rPr>
          <w:rFonts w:hint="default" w:ascii="Times New Roman" w:hAnsi="Times New Roman" w:eastAsia="仿宋_GB2312" w:cs="Times New Roman"/>
          <w:bCs/>
          <w:color w:val="auto"/>
          <w:sz w:val="32"/>
          <w:szCs w:val="32"/>
          <w:highlight w:val="none"/>
        </w:rPr>
        <w:t>办理手续</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负责制定自身</w:t>
      </w:r>
      <w:r>
        <w:rPr>
          <w:rFonts w:ascii="Times New Roman" w:hAnsi="Times New Roman" w:eastAsia="仿宋_GB2312" w:cs="Times New Roman"/>
          <w:bCs/>
          <w:color w:val="auto"/>
          <w:sz w:val="32"/>
          <w:szCs w:val="32"/>
          <w:highlight w:val="none"/>
        </w:rPr>
        <w:t>资源调节</w:t>
      </w:r>
      <w:r>
        <w:rPr>
          <w:rFonts w:hint="default" w:ascii="Times New Roman" w:hAnsi="Times New Roman" w:eastAsia="仿宋_GB2312" w:cs="Times New Roman"/>
          <w:bCs/>
          <w:color w:val="auto"/>
          <w:sz w:val="32"/>
          <w:szCs w:val="32"/>
          <w:highlight w:val="none"/>
        </w:rPr>
        <w:t>预案。</w:t>
      </w:r>
    </w:p>
    <w:p w14:paraId="43F07288">
      <w:pPr>
        <w:pStyle w:val="33"/>
        <w:numPr>
          <w:ilvl w:val="0"/>
          <w:numId w:val="0"/>
        </w:numPr>
        <w:tabs>
          <w:tab w:val="left" w:pos="6720"/>
        </w:tabs>
        <w:spacing w:line="560" w:lineRule="exact"/>
        <w:ind w:left="479" w:leftChars="228"/>
        <w:rPr>
          <w:rFonts w:hint="default" w:ascii="Times New Roman" w:hAnsi="Times New Roman" w:eastAsia="仿宋_GB2312" w:cs="Times New Roman"/>
          <w:bCs/>
          <w:color w:val="auto"/>
          <w:sz w:val="32"/>
          <w:szCs w:val="32"/>
          <w:highlight w:val="none"/>
        </w:rPr>
      </w:pPr>
    </w:p>
    <w:p w14:paraId="752B9E1D">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运营管理</w:t>
      </w:r>
    </w:p>
    <w:p w14:paraId="48A63ACE">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lang w:val="en-US" w:eastAsia="zh-CN"/>
        </w:rPr>
        <w:t>登记</w:t>
      </w:r>
      <w:r>
        <w:rPr>
          <w:rFonts w:hint="eastAsia" w:ascii="Times New Roman" w:hAnsi="Times New Roman" w:eastAsia="仿宋_GB2312" w:cs="Times New Roman"/>
          <w:b/>
          <w:color w:val="auto"/>
          <w:sz w:val="32"/>
          <w:szCs w:val="32"/>
          <w:highlight w:val="none"/>
        </w:rPr>
        <w:t>管理</w:t>
      </w:r>
    </w:p>
    <w:p w14:paraId="242447AC">
      <w:pPr>
        <w:pStyle w:val="33"/>
        <w:numPr>
          <w:ilvl w:val="0"/>
          <w:numId w:val="5"/>
        </w:numPr>
        <w:tabs>
          <w:tab w:val="left" w:pos="6720"/>
        </w:tabs>
        <w:spacing w:line="560" w:lineRule="exact"/>
        <w:ind w:firstLine="729" w:firstLineChars="228"/>
        <w:jc w:val="left"/>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登记</w:t>
      </w:r>
      <w:r>
        <w:rPr>
          <w:rFonts w:ascii="Times New Roman" w:hAnsi="Times New Roman" w:eastAsia="仿宋_GB2312" w:cs="Times New Roman"/>
          <w:bCs/>
          <w:color w:val="auto"/>
          <w:sz w:val="32"/>
          <w:szCs w:val="32"/>
          <w:highlight w:val="none"/>
        </w:rPr>
        <w:t>管理]参与广州市</w:t>
      </w:r>
      <w:r>
        <w:rPr>
          <w:rFonts w:hint="eastAsia" w:ascii="Times New Roman" w:hAnsi="Times New Roman" w:eastAsia="仿宋_GB2312" w:cs="Times New Roman"/>
          <w:bCs/>
          <w:color w:val="auto"/>
          <w:sz w:val="32"/>
          <w:szCs w:val="32"/>
          <w:highlight w:val="none"/>
          <w:lang w:val="en-US" w:eastAsia="zh-CN"/>
        </w:rPr>
        <w:t>电力</w:t>
      </w:r>
      <w:r>
        <w:rPr>
          <w:rFonts w:ascii="Times New Roman" w:hAnsi="Times New Roman" w:eastAsia="仿宋_GB2312" w:cs="Times New Roman"/>
          <w:bCs/>
          <w:color w:val="auto"/>
          <w:sz w:val="32"/>
          <w:szCs w:val="32"/>
          <w:highlight w:val="none"/>
        </w:rPr>
        <w:t>响应服务的虚拟电厂运营商须符合国家、广东省、广州市有关法律法规的</w:t>
      </w:r>
      <w:r>
        <w:rPr>
          <w:rFonts w:hint="eastAsia" w:ascii="Times New Roman" w:hAnsi="Times New Roman" w:eastAsia="仿宋_GB2312" w:cs="Times New Roman"/>
          <w:bCs/>
          <w:color w:val="auto"/>
          <w:sz w:val="32"/>
          <w:szCs w:val="32"/>
          <w:highlight w:val="none"/>
          <w:lang w:val="en-US" w:eastAsia="zh-CN"/>
        </w:rPr>
        <w:t>要求</w:t>
      </w:r>
      <w:r>
        <w:rPr>
          <w:rFonts w:ascii="Times New Roman" w:hAnsi="Times New Roman" w:eastAsia="仿宋_GB2312" w:cs="Times New Roman"/>
          <w:bCs/>
          <w:color w:val="auto"/>
          <w:sz w:val="32"/>
          <w:szCs w:val="32"/>
          <w:highlight w:val="none"/>
        </w:rPr>
        <w:t>，并向管理中心提交申请。申请材料包括但不限于营业执照</w:t>
      </w:r>
      <w:r>
        <w:rPr>
          <w:rFonts w:hint="eastAsia" w:ascii="Times New Roman" w:hAnsi="Times New Roman" w:eastAsia="仿宋_GB2312" w:cs="Times New Roman"/>
          <w:bCs/>
          <w:color w:val="auto"/>
          <w:sz w:val="32"/>
          <w:szCs w:val="32"/>
          <w:highlight w:val="none"/>
          <w:lang w:val="en-US" w:eastAsia="zh-CN"/>
        </w:rPr>
        <w:t>或多合一营业执照</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rPr>
        <w:t>银行开户许可证信息</w:t>
      </w:r>
      <w:r>
        <w:rPr>
          <w:rFonts w:ascii="Times New Roman" w:hAnsi="Times New Roman" w:eastAsia="仿宋_GB2312" w:cs="Times New Roman"/>
          <w:bCs/>
          <w:color w:val="auto"/>
          <w:sz w:val="32"/>
          <w:szCs w:val="32"/>
          <w:highlight w:val="none"/>
        </w:rPr>
        <w:t>、信用承诺书</w:t>
      </w:r>
      <w:r>
        <w:rPr>
          <w:rFonts w:hint="eastAsia" w:ascii="Times New Roman" w:hAnsi="Times New Roman" w:eastAsia="仿宋_GB2312" w:cs="Times New Roman"/>
          <w:bCs/>
          <w:color w:val="auto"/>
          <w:sz w:val="32"/>
          <w:szCs w:val="32"/>
          <w:highlight w:val="none"/>
          <w:lang w:eastAsia="zh-CN"/>
        </w:rPr>
        <w:t>、</w:t>
      </w:r>
      <w:r>
        <w:rPr>
          <w:rFonts w:ascii="Times New Roman" w:hAnsi="Times New Roman" w:eastAsia="仿宋_GB2312" w:cs="Times New Roman"/>
          <w:bCs/>
          <w:color w:val="auto"/>
          <w:sz w:val="32"/>
          <w:szCs w:val="32"/>
          <w:highlight w:val="none"/>
        </w:rPr>
        <w:t>法定代表人或负责人身份证件及身份证明、负责人</w:t>
      </w:r>
      <w:r>
        <w:rPr>
          <w:rFonts w:hint="eastAsia" w:ascii="Times New Roman" w:hAnsi="Times New Roman" w:eastAsia="仿宋_GB2312" w:cs="Times New Roman"/>
          <w:bCs/>
          <w:color w:val="auto"/>
          <w:sz w:val="32"/>
          <w:szCs w:val="32"/>
          <w:highlight w:val="none"/>
          <w:lang w:val="en-US" w:eastAsia="zh-CN"/>
        </w:rPr>
        <w:t>委托</w:t>
      </w:r>
      <w:r>
        <w:rPr>
          <w:rFonts w:ascii="Times New Roman" w:hAnsi="Times New Roman" w:eastAsia="仿宋_GB2312" w:cs="Times New Roman"/>
          <w:bCs/>
          <w:color w:val="auto"/>
          <w:sz w:val="32"/>
          <w:szCs w:val="32"/>
          <w:highlight w:val="none"/>
        </w:rPr>
        <w:t>授权书、企业基本情况说明、企业经营场所的房产证件或租赁协议</w:t>
      </w:r>
      <w:r>
        <w:rPr>
          <w:rFonts w:hint="eastAsia" w:ascii="Times New Roman" w:hAnsi="Times New Roman" w:eastAsia="仿宋_GB2312" w:cs="Times New Roman"/>
          <w:bCs/>
          <w:color w:val="auto"/>
          <w:sz w:val="32"/>
          <w:szCs w:val="32"/>
          <w:highlight w:val="none"/>
          <w:lang w:eastAsia="zh-CN"/>
        </w:rPr>
        <w:t>、虚拟电厂运营安全承诺声明</w:t>
      </w:r>
      <w:r>
        <w:rPr>
          <w:rFonts w:ascii="Times New Roman" w:hAnsi="Times New Roman" w:eastAsia="仿宋_GB2312" w:cs="Times New Roman"/>
          <w:bCs/>
          <w:color w:val="auto"/>
          <w:sz w:val="32"/>
          <w:szCs w:val="32"/>
          <w:highlight w:val="none"/>
        </w:rPr>
        <w:t>等文件</w:t>
      </w:r>
      <w:r>
        <w:rPr>
          <w:rFonts w:hint="eastAsia" w:ascii="Times New Roman" w:hAnsi="Times New Roman" w:eastAsia="仿宋_GB2312" w:cs="Times New Roman"/>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val="en-US" w:eastAsia="zh-CN"/>
        </w:rPr>
        <w:t>申请材料清单详见附录1</w:t>
      </w:r>
      <w:r>
        <w:rPr>
          <w:rFonts w:hint="eastAsia" w:ascii="Times New Roman" w:hAnsi="Times New Roman" w:eastAsia="仿宋_GB2312" w:cs="Times New Roman"/>
          <w:bCs/>
          <w:color w:val="auto"/>
          <w:sz w:val="32"/>
          <w:szCs w:val="32"/>
          <w:highlight w:val="none"/>
          <w:lang w:eastAsia="zh-CN"/>
        </w:rPr>
        <w:t>）</w:t>
      </w:r>
      <w:r>
        <w:rPr>
          <w:rFonts w:ascii="Times New Roman" w:hAnsi="Times New Roman" w:eastAsia="仿宋_GB2312" w:cs="Times New Roman"/>
          <w:bCs/>
          <w:color w:val="auto"/>
          <w:sz w:val="32"/>
          <w:szCs w:val="32"/>
          <w:highlight w:val="none"/>
        </w:rPr>
        <w:t>。虚拟电厂运营商应当保证提交材料的真实性、完整性。</w:t>
      </w:r>
    </w:p>
    <w:p w14:paraId="4D6258C0">
      <w:pPr>
        <w:pStyle w:val="33"/>
        <w:numPr>
          <w:ilvl w:val="255"/>
          <w:numId w:val="0"/>
        </w:numPr>
        <w:tabs>
          <w:tab w:val="left" w:pos="6720"/>
        </w:tabs>
        <w:adjustRightInd w:val="0"/>
        <w:snapToGrid w:val="0"/>
        <w:spacing w:line="560" w:lineRule="exact"/>
        <w:ind w:firstLine="640" w:firstLineChars="200"/>
        <w:jc w:val="left"/>
        <w:rPr>
          <w:rFonts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已在广东省</w:t>
      </w:r>
      <w:r>
        <w:rPr>
          <w:rFonts w:hint="eastAsia" w:ascii="Times New Roman" w:hAnsi="Times New Roman" w:eastAsia="仿宋_GB2312" w:cs="Times New Roman"/>
          <w:bCs/>
          <w:color w:val="auto"/>
          <w:sz w:val="32"/>
          <w:szCs w:val="32"/>
          <w:highlight w:val="none"/>
          <w:lang w:val="en-US" w:eastAsia="zh-CN"/>
        </w:rPr>
        <w:t>电力交易中心</w:t>
      </w:r>
      <w:r>
        <w:rPr>
          <w:rFonts w:ascii="Times New Roman" w:hAnsi="Times New Roman" w:eastAsia="仿宋_GB2312" w:cs="Times New Roman"/>
          <w:bCs/>
          <w:color w:val="auto"/>
          <w:sz w:val="32"/>
          <w:szCs w:val="32"/>
          <w:highlight w:val="none"/>
        </w:rPr>
        <w:t>完成注册</w:t>
      </w:r>
      <w:r>
        <w:rPr>
          <w:rFonts w:hint="eastAsia" w:ascii="Times New Roman" w:hAnsi="Times New Roman" w:eastAsia="仿宋_GB2312" w:cs="Times New Roman"/>
          <w:bCs/>
          <w:color w:val="auto"/>
          <w:sz w:val="32"/>
          <w:szCs w:val="32"/>
          <w:highlight w:val="none"/>
          <w:lang w:val="en-US" w:eastAsia="zh-CN"/>
        </w:rPr>
        <w:t>的</w:t>
      </w:r>
      <w:r>
        <w:rPr>
          <w:rFonts w:ascii="Times New Roman" w:hAnsi="Times New Roman" w:eastAsia="仿宋_GB2312" w:cs="Times New Roman"/>
          <w:bCs/>
          <w:color w:val="auto"/>
          <w:sz w:val="32"/>
          <w:szCs w:val="32"/>
          <w:highlight w:val="none"/>
        </w:rPr>
        <w:t>无需重复</w:t>
      </w:r>
      <w:r>
        <w:rPr>
          <w:rFonts w:hint="eastAsia" w:ascii="Times New Roman" w:hAnsi="Times New Roman" w:eastAsia="仿宋_GB2312" w:cs="Times New Roman"/>
          <w:bCs/>
          <w:color w:val="auto"/>
          <w:sz w:val="32"/>
          <w:szCs w:val="32"/>
          <w:highlight w:val="none"/>
          <w:lang w:val="en-US" w:eastAsia="zh-CN"/>
        </w:rPr>
        <w:t>登记</w:t>
      </w:r>
      <w:r>
        <w:rPr>
          <w:rFonts w:ascii="Times New Roman" w:hAnsi="Times New Roman" w:eastAsia="仿宋_GB2312" w:cs="Times New Roman"/>
          <w:bCs/>
          <w:color w:val="auto"/>
          <w:sz w:val="32"/>
          <w:szCs w:val="32"/>
          <w:highlight w:val="none"/>
        </w:rPr>
        <w:t>。</w:t>
      </w:r>
    </w:p>
    <w:p w14:paraId="1924D3A4">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lang w:val="en-US" w:eastAsia="zh-CN"/>
        </w:rPr>
        <w:t>资格</w:t>
      </w:r>
      <w:r>
        <w:rPr>
          <w:rFonts w:hint="eastAsia" w:ascii="Times New Roman" w:hAnsi="Times New Roman" w:eastAsia="仿宋_GB2312" w:cs="Times New Roman"/>
          <w:b/>
          <w:color w:val="auto"/>
          <w:sz w:val="32"/>
          <w:szCs w:val="32"/>
          <w:highlight w:val="none"/>
        </w:rPr>
        <w:t>管理</w:t>
      </w:r>
    </w:p>
    <w:p w14:paraId="12D6B49C">
      <w:pPr>
        <w:pStyle w:val="33"/>
        <w:numPr>
          <w:ilvl w:val="0"/>
          <w:numId w:val="5"/>
        </w:numPr>
        <w:tabs>
          <w:tab w:val="left" w:pos="6720"/>
        </w:tabs>
        <w:spacing w:line="560" w:lineRule="exact"/>
        <w:ind w:firstLine="729" w:firstLineChars="228"/>
        <w:rPr>
          <w:rFonts w:hint="default"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用户</w:t>
      </w:r>
      <w:r>
        <w:rPr>
          <w:rFonts w:hint="eastAsia" w:ascii="Times New Roman" w:hAnsi="Times New Roman" w:eastAsia="仿宋_GB2312" w:cs="Times New Roman"/>
          <w:color w:val="auto"/>
          <w:sz w:val="32"/>
          <w:szCs w:val="32"/>
          <w:highlight w:val="none"/>
          <w:lang w:val="en-US" w:eastAsia="zh-CN"/>
        </w:rPr>
        <w:t>资格</w:t>
      </w:r>
      <w:r>
        <w:rPr>
          <w:rFonts w:ascii="Times New Roman" w:hAnsi="Times New Roman" w:eastAsia="仿宋_GB2312" w:cs="Times New Roman"/>
          <w:color w:val="auto"/>
          <w:sz w:val="32"/>
          <w:szCs w:val="32"/>
          <w:highlight w:val="none"/>
        </w:rPr>
        <w:t>]独立参与的</w:t>
      </w:r>
      <w:r>
        <w:rPr>
          <w:rFonts w:hint="eastAsia" w:ascii="Times New Roman" w:hAnsi="Times New Roman" w:eastAsia="仿宋_GB2312" w:cs="Times New Roman"/>
          <w:color w:val="auto"/>
          <w:sz w:val="32"/>
          <w:szCs w:val="32"/>
          <w:highlight w:val="none"/>
          <w:lang w:eastAsia="zh-CN"/>
        </w:rPr>
        <w:t>用户</w:t>
      </w:r>
      <w:r>
        <w:rPr>
          <w:rFonts w:ascii="Times New Roman" w:hAnsi="Times New Roman" w:eastAsia="仿宋_GB2312" w:cs="Times New Roman"/>
          <w:color w:val="auto"/>
          <w:sz w:val="32"/>
          <w:szCs w:val="32"/>
          <w:highlight w:val="none"/>
        </w:rPr>
        <w:t>应具备的条件为：具备独立电力</w:t>
      </w:r>
      <w:r>
        <w:rPr>
          <w:rFonts w:hint="eastAsia" w:ascii="Times New Roman" w:hAnsi="Times New Roman" w:eastAsia="仿宋_GB2312" w:cs="Times New Roman"/>
          <w:color w:val="auto"/>
          <w:sz w:val="32"/>
          <w:szCs w:val="32"/>
          <w:highlight w:val="none"/>
          <w:lang w:val="en-US" w:eastAsia="zh-CN"/>
        </w:rPr>
        <w:t>结算</w:t>
      </w:r>
      <w:r>
        <w:rPr>
          <w:rFonts w:ascii="Times New Roman" w:hAnsi="Times New Roman" w:eastAsia="仿宋_GB2312" w:cs="Times New Roman"/>
          <w:color w:val="auto"/>
          <w:sz w:val="32"/>
          <w:szCs w:val="32"/>
          <w:highlight w:val="none"/>
        </w:rPr>
        <w:t>户号；具备完善的技术支持系统</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单次有功响应的</w:t>
      </w:r>
      <w:r>
        <w:rPr>
          <w:rFonts w:ascii="Times New Roman" w:hAnsi="Times New Roman" w:eastAsia="仿宋_GB2312" w:cs="Times New Roman"/>
          <w:color w:val="auto"/>
          <w:sz w:val="32"/>
          <w:szCs w:val="32"/>
          <w:highlight w:val="none"/>
        </w:rPr>
        <w:t>调节能力不低</w:t>
      </w:r>
      <w:r>
        <w:rPr>
          <w:rFonts w:hint="eastAsia" w:ascii="Times New Roman" w:hAnsi="Times New Roman" w:eastAsia="仿宋_GB2312" w:cs="Times New Roman"/>
          <w:color w:val="auto"/>
          <w:sz w:val="32"/>
          <w:szCs w:val="32"/>
          <w:highlight w:val="none"/>
        </w:rPr>
        <w:t>于</w:t>
      </w:r>
      <w:r>
        <w:rPr>
          <w:rFonts w:hint="eastAsia" w:ascii="Times New Roman" w:hAnsi="Times New Roman" w:eastAsia="仿宋_GB2312" w:cs="Times New Roman"/>
          <w:color w:val="auto"/>
          <w:sz w:val="32"/>
          <w:szCs w:val="32"/>
          <w:highlight w:val="none"/>
          <w:lang w:val="en-US" w:eastAsia="zh-CN"/>
        </w:rPr>
        <w:t>P1</w:t>
      </w:r>
      <w:r>
        <w:rPr>
          <w:rFonts w:hint="eastAsia" w:ascii="Times New Roman" w:hAnsi="Times New Roman" w:eastAsia="仿宋_GB2312" w:cs="Times New Roman"/>
          <w:color w:val="auto"/>
          <w:sz w:val="32"/>
          <w:szCs w:val="32"/>
          <w:highlight w:val="none"/>
        </w:rPr>
        <w:t>，响应时长不低于</w:t>
      </w:r>
      <w:r>
        <w:rPr>
          <w:rFonts w:hint="eastAsia" w:ascii="Times New Roman" w:hAnsi="Times New Roman" w:eastAsia="仿宋_GB2312" w:cs="Times New Roman"/>
          <w:color w:val="auto"/>
          <w:sz w:val="32"/>
          <w:szCs w:val="32"/>
          <w:highlight w:val="none"/>
          <w:lang w:val="en-US" w:eastAsia="zh-CN"/>
        </w:rPr>
        <w:t>T1（参数详见附录11，下同）</w:t>
      </w:r>
      <w:r>
        <w:rPr>
          <w:rFonts w:ascii="Times New Roman" w:hAnsi="Times New Roman" w:eastAsia="仿宋_GB2312" w:cs="Times New Roman"/>
          <w:color w:val="auto"/>
          <w:sz w:val="32"/>
          <w:szCs w:val="32"/>
          <w:highlight w:val="none"/>
        </w:rPr>
        <w:t>。</w:t>
      </w:r>
    </w:p>
    <w:p w14:paraId="29609410">
      <w:pPr>
        <w:pStyle w:val="33"/>
        <w:numPr>
          <w:ilvl w:val="0"/>
          <w:numId w:val="5"/>
        </w:numPr>
        <w:tabs>
          <w:tab w:val="left" w:pos="6720"/>
        </w:tabs>
        <w:spacing w:line="560" w:lineRule="exact"/>
        <w:ind w:firstLine="729" w:firstLineChars="228"/>
        <w:rPr>
          <w:rFonts w:hint="default"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[虚拟电厂运营商</w:t>
      </w:r>
      <w:r>
        <w:rPr>
          <w:rFonts w:hint="eastAsia" w:ascii="Times New Roman" w:hAnsi="Times New Roman" w:eastAsia="仿宋_GB2312" w:cs="Times New Roman"/>
          <w:color w:val="auto"/>
          <w:sz w:val="32"/>
          <w:szCs w:val="32"/>
          <w:highlight w:val="none"/>
          <w:lang w:val="en-US" w:eastAsia="zh-CN"/>
        </w:rPr>
        <w:t>资格</w:t>
      </w:r>
      <w:r>
        <w:rPr>
          <w:rFonts w:ascii="Times New Roman" w:hAnsi="Times New Roman" w:eastAsia="仿宋_GB2312" w:cs="Times New Roman"/>
          <w:bCs/>
          <w:color w:val="auto"/>
          <w:sz w:val="32"/>
          <w:szCs w:val="32"/>
          <w:highlight w:val="none"/>
        </w:rPr>
        <w:t>]虚拟电厂运营商应</w:t>
      </w:r>
      <w:r>
        <w:rPr>
          <w:rFonts w:hint="eastAsia" w:ascii="Times New Roman" w:hAnsi="Times New Roman" w:eastAsia="仿宋_GB2312" w:cs="Times New Roman"/>
          <w:bCs/>
          <w:color w:val="auto"/>
          <w:sz w:val="32"/>
          <w:szCs w:val="32"/>
          <w:highlight w:val="none"/>
          <w:lang w:val="en-US" w:eastAsia="zh-CN"/>
        </w:rPr>
        <w:t>具备</w:t>
      </w:r>
      <w:r>
        <w:rPr>
          <w:rFonts w:ascii="Times New Roman" w:hAnsi="Times New Roman" w:eastAsia="仿宋_GB2312" w:cs="Times New Roman"/>
          <w:bCs/>
          <w:color w:val="auto"/>
          <w:sz w:val="32"/>
          <w:szCs w:val="32"/>
          <w:highlight w:val="none"/>
        </w:rPr>
        <w:t>的条件</w:t>
      </w:r>
      <w:r>
        <w:rPr>
          <w:rFonts w:hint="eastAsia" w:ascii="Times New Roman" w:hAnsi="Times New Roman" w:eastAsia="仿宋_GB2312" w:cs="Times New Roman"/>
          <w:bCs/>
          <w:color w:val="auto"/>
          <w:sz w:val="32"/>
          <w:szCs w:val="32"/>
          <w:highlight w:val="none"/>
          <w:lang w:val="en-US" w:eastAsia="zh-CN"/>
        </w:rPr>
        <w:t>为</w:t>
      </w:r>
      <w:r>
        <w:rPr>
          <w:rFonts w:ascii="Times New Roman" w:hAnsi="Times New Roman" w:eastAsia="仿宋_GB2312" w:cs="Times New Roman"/>
          <w:bCs/>
          <w:color w:val="auto"/>
          <w:sz w:val="32"/>
          <w:szCs w:val="32"/>
          <w:highlight w:val="none"/>
        </w:rPr>
        <w:t>；聚合的</w:t>
      </w:r>
      <w:r>
        <w:rPr>
          <w:rFonts w:ascii="Times New Roman" w:hAnsi="Times New Roman" w:eastAsia="仿宋_GB2312" w:cs="Times New Roman"/>
          <w:color w:val="auto"/>
          <w:sz w:val="32"/>
          <w:szCs w:val="32"/>
          <w:highlight w:val="none"/>
        </w:rPr>
        <w:t>响应调节能力不低于</w:t>
      </w:r>
      <w:r>
        <w:rPr>
          <w:rFonts w:hint="eastAsia" w:ascii="仿宋_GB2312" w:hAnsi="仿宋_GB2312" w:eastAsia="仿宋_GB2312" w:cs="仿宋_GB2312"/>
          <w:color w:val="auto"/>
          <w:sz w:val="32"/>
          <w:szCs w:val="32"/>
          <w:highlight w:val="none"/>
          <w:lang w:val="en-US" w:eastAsia="zh-CN"/>
        </w:rPr>
        <w:t>P</w:t>
      </w:r>
      <w:r>
        <w:rPr>
          <w:rFonts w:hint="eastAsia" w:ascii="仿宋_GB2312" w:hAnsi="仿宋_GB2312" w:eastAsia="仿宋_GB2312" w:cs="仿宋_GB2312"/>
          <w:color w:val="auto"/>
          <w:sz w:val="32"/>
          <w:szCs w:val="32"/>
          <w:highlight w:val="none"/>
          <w:vertAlign w:val="subscript"/>
          <w:lang w:val="en-US" w:eastAsia="zh-CN"/>
        </w:rPr>
        <w:t>2</w:t>
      </w:r>
      <w:r>
        <w:rPr>
          <w:rFonts w:ascii="Times New Roman" w:hAnsi="Times New Roman" w:eastAsia="仿宋_GB2312" w:cs="Times New Roman"/>
          <w:color w:val="auto"/>
          <w:sz w:val="32"/>
          <w:szCs w:val="32"/>
          <w:highlight w:val="none"/>
        </w:rPr>
        <w:t>，响应时长不低于</w:t>
      </w:r>
      <w:r>
        <w:rPr>
          <w:rFonts w:hint="eastAsia" w:ascii="仿宋_GB2312" w:hAnsi="仿宋_GB2312" w:eastAsia="仿宋_GB2312" w:cs="仿宋_GB2312"/>
          <w:color w:val="auto"/>
          <w:sz w:val="30"/>
          <w:szCs w:val="30"/>
          <w:highlight w:val="none"/>
          <w:lang w:val="en-US" w:eastAsia="zh-CN"/>
        </w:rPr>
        <w:t>T</w:t>
      </w:r>
      <w:r>
        <w:rPr>
          <w:rFonts w:hint="eastAsia" w:ascii="仿宋_GB2312" w:hAnsi="仿宋_GB2312" w:eastAsia="仿宋_GB2312" w:cs="仿宋_GB2312"/>
          <w:color w:val="auto"/>
          <w:sz w:val="30"/>
          <w:szCs w:val="30"/>
          <w:highlight w:val="none"/>
          <w:vertAlign w:val="subscript"/>
          <w:lang w:val="en-US" w:eastAsia="zh-CN"/>
        </w:rPr>
        <w:t>2</w:t>
      </w:r>
      <w:r>
        <w:rPr>
          <w:rFonts w:ascii="Times New Roman" w:hAnsi="Times New Roman" w:eastAsia="仿宋_GB2312" w:cs="Times New Roman"/>
          <w:color w:val="auto"/>
          <w:sz w:val="32"/>
          <w:szCs w:val="32"/>
          <w:highlight w:val="none"/>
        </w:rPr>
        <w:t>；具备完善的技术支持系统，接入虚拟电厂管理平台。</w:t>
      </w:r>
    </w:p>
    <w:p w14:paraId="17C580AE">
      <w:pPr>
        <w:pStyle w:val="33"/>
        <w:numPr>
          <w:ilvl w:val="0"/>
          <w:numId w:val="5"/>
        </w:numPr>
        <w:tabs>
          <w:tab w:val="left" w:pos="6720"/>
        </w:tabs>
        <w:spacing w:line="560" w:lineRule="exact"/>
        <w:ind w:firstLine="729" w:firstLineChars="228"/>
        <w:rPr>
          <w:rFonts w:hint="default"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[备用服务</w:t>
      </w:r>
      <w:r>
        <w:rPr>
          <w:rFonts w:hint="eastAsia" w:ascii="Times New Roman" w:hAnsi="Times New Roman" w:eastAsia="仿宋_GB2312" w:cs="Times New Roman"/>
          <w:color w:val="auto"/>
          <w:sz w:val="32"/>
          <w:szCs w:val="32"/>
          <w:highlight w:val="none"/>
          <w:lang w:val="en-US" w:eastAsia="zh-CN"/>
        </w:rPr>
        <w:t>资格</w:t>
      </w:r>
      <w:r>
        <w:rPr>
          <w:rFonts w:ascii="Times New Roman" w:hAnsi="Times New Roman" w:eastAsia="仿宋_GB2312" w:cs="Times New Roman"/>
          <w:color w:val="auto"/>
          <w:sz w:val="32"/>
          <w:szCs w:val="32"/>
          <w:highlight w:val="none"/>
        </w:rPr>
        <w:t>]参与备用服务的响应主体，需具备完善的</w:t>
      </w:r>
      <w:r>
        <w:rPr>
          <w:rFonts w:hint="eastAsia" w:ascii="Times New Roman" w:hAnsi="Times New Roman" w:eastAsia="仿宋_GB2312" w:cs="Times New Roman"/>
          <w:color w:val="auto"/>
          <w:sz w:val="32"/>
          <w:szCs w:val="32"/>
          <w:highlight w:val="none"/>
          <w:lang w:val="en-US" w:eastAsia="zh-CN"/>
        </w:rPr>
        <w:t>技术支持系统</w:t>
      </w:r>
      <w:r>
        <w:rPr>
          <w:rFonts w:ascii="Times New Roman" w:hAnsi="Times New Roman" w:eastAsia="仿宋_GB2312" w:cs="Times New Roman"/>
          <w:color w:val="auto"/>
          <w:sz w:val="32"/>
          <w:szCs w:val="32"/>
          <w:highlight w:val="none"/>
        </w:rPr>
        <w:t>并将备用资源的</w:t>
      </w:r>
      <w:r>
        <w:rPr>
          <w:rFonts w:hint="eastAsia" w:ascii="Times New Roman" w:hAnsi="Times New Roman" w:eastAsia="仿宋_GB2312" w:cs="Times New Roman"/>
          <w:color w:val="auto"/>
          <w:sz w:val="32"/>
          <w:szCs w:val="32"/>
          <w:highlight w:val="none"/>
          <w:lang w:val="en-US" w:eastAsia="zh-CN"/>
        </w:rPr>
        <w:t>分钟级</w:t>
      </w:r>
      <w:r>
        <w:rPr>
          <w:rFonts w:ascii="Times New Roman" w:hAnsi="Times New Roman" w:eastAsia="仿宋_GB2312" w:cs="Times New Roman"/>
          <w:color w:val="auto"/>
          <w:sz w:val="32"/>
          <w:szCs w:val="32"/>
          <w:highlight w:val="none"/>
        </w:rPr>
        <w:t>运行数据实时上传至虚拟电厂管理平台</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培育初期，备用资源暂定为用户侧储能、可中断负荷、制冷负荷、充换电设施等。</w:t>
      </w:r>
    </w:p>
    <w:p w14:paraId="4BA89C9B">
      <w:pPr>
        <w:pStyle w:val="33"/>
        <w:numPr>
          <w:ilvl w:val="0"/>
          <w:numId w:val="5"/>
        </w:numPr>
        <w:tabs>
          <w:tab w:val="left" w:pos="6720"/>
        </w:tabs>
        <w:spacing w:line="560" w:lineRule="exact"/>
        <w:ind w:firstLine="729" w:firstLineChars="228"/>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鼓励具备智能自控系统的中央空调</w:t>
      </w:r>
      <w:r>
        <w:rPr>
          <w:rFonts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包括可控的多联机空调</w:t>
      </w:r>
      <w:r>
        <w:rPr>
          <w:rFonts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、充电桩、储能等用户参与</w:t>
      </w:r>
      <w:r>
        <w:rPr>
          <w:rFonts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鼓励用户建设平台实现重点用能设备的在线监控，安装符合国家和行业相应标准的智能终端，满足参与</w:t>
      </w:r>
      <w:r>
        <w:rPr>
          <w:rFonts w:ascii="Times New Roman" w:hAnsi="Times New Roman" w:eastAsia="仿宋_GB2312" w:cs="Times New Roman"/>
          <w:color w:val="auto"/>
          <w:sz w:val="32"/>
          <w:szCs w:val="32"/>
          <w:highlight w:val="none"/>
        </w:rPr>
        <w:t>响应服务</w:t>
      </w:r>
      <w:r>
        <w:rPr>
          <w:rFonts w:hint="default" w:ascii="Times New Roman" w:hAnsi="Times New Roman" w:eastAsia="仿宋_GB2312" w:cs="Times New Roman"/>
          <w:color w:val="auto"/>
          <w:sz w:val="32"/>
          <w:szCs w:val="32"/>
          <w:highlight w:val="none"/>
        </w:rPr>
        <w:t>的基本条件。</w:t>
      </w:r>
    </w:p>
    <w:p w14:paraId="79EE6E50">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档案管理</w:t>
      </w:r>
    </w:p>
    <w:p w14:paraId="51A19D38">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[虚拟电厂运营商账号]虚拟电厂运营商在</w:t>
      </w:r>
      <w:r>
        <w:rPr>
          <w:rFonts w:hint="eastAsia" w:ascii="Times New Roman" w:hAnsi="Times New Roman" w:eastAsia="仿宋_GB2312" w:cs="Times New Roman"/>
          <w:bCs/>
          <w:color w:val="auto"/>
          <w:sz w:val="32"/>
          <w:szCs w:val="32"/>
          <w:highlight w:val="none"/>
          <w:lang w:val="en-US" w:eastAsia="zh-CN"/>
        </w:rPr>
        <w:t>虚拟电厂管理平台</w:t>
      </w:r>
      <w:r>
        <w:rPr>
          <w:rFonts w:hint="default" w:ascii="Times New Roman" w:hAnsi="Times New Roman" w:eastAsia="仿宋_GB2312" w:cs="Times New Roman"/>
          <w:bCs/>
          <w:color w:val="auto"/>
          <w:sz w:val="32"/>
          <w:szCs w:val="32"/>
          <w:highlight w:val="none"/>
        </w:rPr>
        <w:t>填写账号信息、提交企业信息与个人信息</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企业联系人</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，并提交相关申请证明材料。个人信息包括但不限于联系人姓名、身份证、电话、邮箱、授权委托书</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企业信息包括但不限于企业工商信息、开户行信息、营业执照副本、法人身份证。</w:t>
      </w:r>
    </w:p>
    <w:p w14:paraId="138829D9">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[申请材料核验</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申请材料原则上由管理中心核验，证明材料需要人工核验的，申请企业应当配合核验工作，管理中心在收齐证明材料之日起</w:t>
      </w:r>
      <w:r>
        <w:rPr>
          <w:rFonts w:hint="eastAsia" w:ascii="Times New Roman" w:hAnsi="Times New Roman" w:eastAsia="仿宋_GB2312" w:cs="Times New Roman"/>
          <w:bCs/>
          <w:color w:val="auto"/>
          <w:sz w:val="32"/>
          <w:szCs w:val="32"/>
          <w:highlight w:val="none"/>
          <w:lang w:val="en-US" w:eastAsia="zh-CN"/>
        </w:rPr>
        <w:t>10</w:t>
      </w:r>
      <w:r>
        <w:rPr>
          <w:rFonts w:hint="default" w:ascii="Times New Roman" w:hAnsi="Times New Roman" w:eastAsia="仿宋_GB2312" w:cs="Times New Roman"/>
          <w:bCs/>
          <w:color w:val="auto"/>
          <w:sz w:val="32"/>
          <w:szCs w:val="32"/>
          <w:highlight w:val="none"/>
        </w:rPr>
        <w:t>个工作日内完成材料完整性核验。核验符合条件的，自动赋予管理员权限。账号生效后，企业联系人对本企业账号业务权限负责。</w:t>
      </w:r>
    </w:p>
    <w:p w14:paraId="31C60B60">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申请材料由管理中心组织审核，未一次满足要求的限10个工作日内补齐，</w:t>
      </w:r>
      <w:r>
        <w:rPr>
          <w:rFonts w:hint="eastAsia" w:ascii="Times New Roman" w:hAnsi="Times New Roman" w:eastAsia="仿宋_GB2312" w:cs="Times New Roman"/>
          <w:bCs/>
          <w:color w:val="auto"/>
          <w:sz w:val="32"/>
          <w:szCs w:val="32"/>
          <w:highlight w:val="none"/>
          <w:lang w:eastAsia="zh-CN"/>
        </w:rPr>
        <w:t>超期需重新提交，</w:t>
      </w:r>
      <w:r>
        <w:rPr>
          <w:rFonts w:hint="default" w:ascii="Times New Roman" w:hAnsi="Times New Roman" w:eastAsia="仿宋_GB2312" w:cs="Times New Roman"/>
          <w:bCs/>
          <w:color w:val="auto"/>
          <w:sz w:val="32"/>
          <w:szCs w:val="32"/>
          <w:highlight w:val="none"/>
        </w:rPr>
        <w:t>审核材料通过后管理中心进行备案。</w:t>
      </w:r>
    </w:p>
    <w:p w14:paraId="434F31A8">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信息维护</w:t>
      </w:r>
      <w:r>
        <w:rPr>
          <w:rFonts w:hint="eastAsia" w:ascii="Times New Roman" w:hAnsi="Times New Roman" w:eastAsia="仿宋_GB2312" w:cs="Times New Roman"/>
          <w:b/>
          <w:color w:val="auto"/>
          <w:sz w:val="32"/>
          <w:szCs w:val="32"/>
          <w:highlight w:val="none"/>
        </w:rPr>
        <w:t>与变更</w:t>
      </w:r>
    </w:p>
    <w:p w14:paraId="56346511">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color w:val="auto"/>
          <w:sz w:val="32"/>
          <w:szCs w:val="32"/>
          <w:highlight w:val="none"/>
        </w:rPr>
        <w:t>[虚拟电厂运营商信息维护]虚拟电厂运营商</w:t>
      </w:r>
      <w:r>
        <w:rPr>
          <w:rFonts w:hint="default" w:ascii="Times New Roman" w:hAnsi="Times New Roman" w:eastAsia="仿宋_GB2312" w:cs="Times New Roman"/>
          <w:bCs/>
          <w:color w:val="auto"/>
          <w:sz w:val="32"/>
          <w:szCs w:val="32"/>
          <w:highlight w:val="none"/>
        </w:rPr>
        <w:t>由现任账户管理员在</w:t>
      </w:r>
      <w:r>
        <w:rPr>
          <w:rFonts w:ascii="Times New Roman" w:hAnsi="Times New Roman" w:eastAsia="仿宋_GB2312" w:cs="Times New Roman"/>
          <w:bCs/>
          <w:color w:val="auto"/>
          <w:sz w:val="32"/>
          <w:szCs w:val="32"/>
          <w:highlight w:val="none"/>
        </w:rPr>
        <w:t>虚拟电厂管理平台</w:t>
      </w:r>
      <w:r>
        <w:rPr>
          <w:rFonts w:hint="default" w:ascii="Times New Roman" w:hAnsi="Times New Roman" w:eastAsia="仿宋_GB2312" w:cs="Times New Roman"/>
          <w:bCs/>
          <w:color w:val="auto"/>
          <w:sz w:val="32"/>
          <w:szCs w:val="32"/>
          <w:highlight w:val="none"/>
        </w:rPr>
        <w:t>上传更新后的对接人身份证明、授权文件等基础资料。变更申请需</w:t>
      </w:r>
      <w:r>
        <w:rPr>
          <w:rFonts w:ascii="Times New Roman" w:hAnsi="Times New Roman" w:eastAsia="仿宋_GB2312" w:cs="Times New Roman"/>
          <w:bCs/>
          <w:color w:val="auto"/>
          <w:sz w:val="32"/>
          <w:szCs w:val="32"/>
          <w:highlight w:val="none"/>
        </w:rPr>
        <w:t>按照</w:t>
      </w:r>
      <w:r>
        <w:rPr>
          <w:rFonts w:hint="default" w:ascii="Times New Roman" w:hAnsi="Times New Roman" w:eastAsia="仿宋_GB2312" w:cs="Times New Roman"/>
          <w:bCs/>
          <w:color w:val="auto"/>
          <w:sz w:val="32"/>
          <w:szCs w:val="32"/>
          <w:highlight w:val="none"/>
        </w:rPr>
        <w:t>新用户标准完成全流程验证，系统审核通过后，新账户信息将在24小时内生效并同步至所有业务模块</w:t>
      </w:r>
      <w:r>
        <w:rPr>
          <w:rFonts w:ascii="Times New Roman" w:hAnsi="Times New Roman" w:eastAsia="仿宋_GB2312" w:cs="Times New Roman"/>
          <w:bCs/>
          <w:color w:val="auto"/>
          <w:sz w:val="32"/>
          <w:szCs w:val="32"/>
          <w:highlight w:val="none"/>
        </w:rPr>
        <w:t>。</w:t>
      </w:r>
    </w:p>
    <w:p w14:paraId="23DC9262">
      <w:pPr>
        <w:pStyle w:val="33"/>
        <w:numPr>
          <w:ilvl w:val="0"/>
          <w:numId w:val="5"/>
        </w:numPr>
        <w:tabs>
          <w:tab w:val="left" w:pos="6720"/>
        </w:tabs>
        <w:adjustRightInd w:val="0"/>
        <w:snapToGrid w:val="0"/>
        <w:spacing w:line="560" w:lineRule="exact"/>
        <w:ind w:firstLine="64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账号变更]</w:t>
      </w:r>
      <w:r>
        <w:rPr>
          <w:rFonts w:hint="default" w:ascii="Times New Roman" w:hAnsi="Times New Roman" w:eastAsia="仿宋_GB2312" w:cs="Times New Roman"/>
          <w:bCs/>
          <w:color w:val="auto"/>
          <w:sz w:val="32"/>
          <w:szCs w:val="32"/>
          <w:highlight w:val="none"/>
        </w:rPr>
        <w:t>企业变更企业联系人账号信息的由原企业管理员在虚拟电厂管理</w:t>
      </w:r>
      <w:r>
        <w:rPr>
          <w:rFonts w:ascii="Times New Roman" w:hAnsi="Times New Roman" w:eastAsia="仿宋_GB2312" w:cs="Times New Roman"/>
          <w:bCs/>
          <w:color w:val="auto"/>
          <w:sz w:val="32"/>
          <w:szCs w:val="32"/>
          <w:highlight w:val="none"/>
        </w:rPr>
        <w:t>平台</w:t>
      </w:r>
      <w:r>
        <w:rPr>
          <w:rFonts w:hint="default" w:ascii="Times New Roman" w:hAnsi="Times New Roman" w:eastAsia="仿宋_GB2312" w:cs="Times New Roman"/>
          <w:bCs/>
          <w:color w:val="auto"/>
          <w:sz w:val="32"/>
          <w:szCs w:val="32"/>
          <w:highlight w:val="none"/>
        </w:rPr>
        <w:t>提交拟变更的新企业联系人账号信息及相关材料，其流程与原企业账号一致。核验通过的，企业管理员账号信息变更生效。</w:t>
      </w:r>
    </w:p>
    <w:p w14:paraId="5AD52149">
      <w:pPr>
        <w:pStyle w:val="33"/>
        <w:numPr>
          <w:ilvl w:val="255"/>
          <w:numId w:val="0"/>
        </w:numPr>
        <w:tabs>
          <w:tab w:val="left" w:pos="6720"/>
        </w:tabs>
        <w:adjustRightInd w:val="0"/>
        <w:snapToGrid w:val="0"/>
        <w:spacing w:line="560" w:lineRule="exact"/>
        <w:ind w:firstLine="640" w:firstLineChars="20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企业营业执照、法定代表人或负责人身份证件、企业管理员身份证件、授权委托过期的，企业联系人须及时登录虚拟电厂管理平台进行变更。过期未办理的，暂停企业联系人账户、操作人员账户操作权限。</w:t>
      </w:r>
    </w:p>
    <w:p w14:paraId="52D72519">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[企业信息变更]企业信息发生变化时，应在变化之日起五个工作日内向管理中心申请信息变更。企业信息发生变化但未及时办理信息变更的，由此引起的法律责任由企业自行承担。</w:t>
      </w:r>
    </w:p>
    <w:p w14:paraId="559BFCA4">
      <w:pPr>
        <w:pStyle w:val="33"/>
        <w:numPr>
          <w:ilvl w:val="255"/>
          <w:numId w:val="0"/>
        </w:numPr>
        <w:tabs>
          <w:tab w:val="left" w:pos="6720"/>
        </w:tabs>
        <w:spacing w:line="560" w:lineRule="exact"/>
        <w:ind w:firstLine="640" w:firstLineChars="20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企业法定代表人或负责人变更的，须提交资料：变更后的企业营业执照，法定代表人或负责人身份证件。企业名称变更（统一社会信用代码不变）的，须提交变更后的企业营业执照，重新发起企业管理员在线认证流程。企业完成变更信息维护，管理中心核验通过后，视为变更生效。</w:t>
      </w:r>
    </w:p>
    <w:p w14:paraId="6D258CE3">
      <w:pPr>
        <w:pStyle w:val="33"/>
        <w:numPr>
          <w:ilvl w:val="255"/>
          <w:numId w:val="0"/>
        </w:numPr>
        <w:tabs>
          <w:tab w:val="left" w:pos="6720"/>
        </w:tabs>
        <w:spacing w:line="560" w:lineRule="exact"/>
        <w:ind w:firstLine="640" w:firstLineChars="20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虚拟电厂运营商申请响应能力及其代理用户资源变更，将需要更新的申请材料按照要求进行提交，通过审核的更新立即生效。</w:t>
      </w:r>
    </w:p>
    <w:p w14:paraId="1B7DA6DC">
      <w:pPr>
        <w:pStyle w:val="33"/>
        <w:numPr>
          <w:ilvl w:val="255"/>
          <w:numId w:val="0"/>
        </w:numPr>
        <w:tabs>
          <w:tab w:val="left" w:pos="6720"/>
        </w:tabs>
        <w:spacing w:line="560" w:lineRule="exact"/>
        <w:ind w:firstLine="640" w:firstLineChars="200"/>
        <w:rPr>
          <w:rFonts w:hint="eastAsia" w:ascii="Times New Roman" w:hAnsi="Times New Roman" w:eastAsia="仿宋_GB2312" w:cs="Times New Roman"/>
          <w:bCs/>
          <w:color w:val="auto"/>
          <w:sz w:val="32"/>
          <w:szCs w:val="32"/>
          <w:highlight w:val="none"/>
          <w:lang w:eastAsia="zh-CN"/>
        </w:rPr>
      </w:pPr>
      <w:r>
        <w:rPr>
          <w:rFonts w:ascii="Times New Roman" w:hAnsi="Times New Roman" w:eastAsia="仿宋_GB2312" w:cs="Times New Roman"/>
          <w:bCs/>
          <w:color w:val="auto"/>
          <w:sz w:val="32"/>
          <w:szCs w:val="32"/>
          <w:highlight w:val="none"/>
        </w:rPr>
        <w:t>虚拟电厂运营商申请响应能力及其代理用户资源变更将需要更新的申请</w:t>
      </w:r>
      <w:r>
        <w:rPr>
          <w:rFonts w:hint="eastAsia" w:ascii="Times New Roman" w:hAnsi="Times New Roman" w:eastAsia="仿宋_GB2312" w:cs="Times New Roman"/>
          <w:bCs/>
          <w:color w:val="auto"/>
          <w:sz w:val="32"/>
          <w:szCs w:val="32"/>
          <w:highlight w:val="none"/>
          <w:lang w:val="en-US" w:eastAsia="zh-CN"/>
        </w:rPr>
        <w:t>表</w:t>
      </w:r>
      <w:r>
        <w:rPr>
          <w:rFonts w:ascii="Times New Roman" w:hAnsi="Times New Roman" w:eastAsia="仿宋_GB2312" w:cs="Times New Roman"/>
          <w:bCs/>
          <w:color w:val="auto"/>
          <w:sz w:val="32"/>
          <w:szCs w:val="32"/>
          <w:highlight w:val="none"/>
        </w:rPr>
        <w:t>按照要求进行提交</w:t>
      </w:r>
      <w:r>
        <w:rPr>
          <w:rFonts w:hint="eastAsia" w:ascii="Times New Roman" w:hAnsi="Times New Roman" w:eastAsia="仿宋_GB2312" w:cs="Times New Roman"/>
          <w:bCs/>
          <w:color w:val="auto"/>
          <w:sz w:val="32"/>
          <w:szCs w:val="32"/>
          <w:highlight w:val="none"/>
          <w:lang w:eastAsia="zh-CN"/>
        </w:rPr>
        <w:t>。</w:t>
      </w:r>
    </w:p>
    <w:p w14:paraId="70715EC6">
      <w:pPr>
        <w:pStyle w:val="33"/>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在广东省完成虚拟电厂接入的运营商，信息变更按照管理中心要求在虚拟电厂管理平台上完成同步。</w:t>
      </w:r>
    </w:p>
    <w:p w14:paraId="63972876">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协议管理</w:t>
      </w:r>
    </w:p>
    <w:p w14:paraId="13CA11E9">
      <w:pPr>
        <w:pStyle w:val="33"/>
        <w:numPr>
          <w:ilvl w:val="0"/>
          <w:numId w:val="5"/>
        </w:numPr>
        <w:tabs>
          <w:tab w:val="left" w:pos="6720"/>
        </w:tabs>
        <w:spacing w:line="560" w:lineRule="exact"/>
        <w:ind w:firstLine="729" w:firstLineChars="228"/>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安全承诺声明</w:t>
      </w: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color w:val="auto"/>
          <w:sz w:val="32"/>
          <w:szCs w:val="32"/>
          <w:highlight w:val="none"/>
        </w:rPr>
        <w:t>应向管理中心提交</w:t>
      </w:r>
      <w:r>
        <w:rPr>
          <w:rFonts w:ascii="Times New Roman" w:hAnsi="Times New Roman" w:eastAsia="仿宋_GB2312" w:cs="Times New Roman"/>
          <w:color w:val="auto"/>
          <w:sz w:val="32"/>
          <w:szCs w:val="32"/>
          <w:highlight w:val="none"/>
        </w:rPr>
        <w:t>参与虚拟电厂的安全</w:t>
      </w:r>
      <w:r>
        <w:rPr>
          <w:rFonts w:hint="default" w:ascii="Times New Roman" w:hAnsi="Times New Roman" w:eastAsia="仿宋_GB2312" w:cs="Times New Roman"/>
          <w:color w:val="auto"/>
          <w:sz w:val="32"/>
          <w:szCs w:val="32"/>
          <w:highlight w:val="none"/>
        </w:rPr>
        <w:t>承诺书</w:t>
      </w:r>
      <w:r>
        <w:rPr>
          <w:rFonts w:ascii="Times New Roman" w:hAnsi="Times New Roman" w:eastAsia="仿宋_GB2312" w:cs="Times New Roman"/>
          <w:color w:val="auto"/>
          <w:sz w:val="32"/>
          <w:szCs w:val="32"/>
          <w:highlight w:val="none"/>
        </w:rPr>
        <w:t>，承诺书</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附录</w:t>
      </w:r>
      <w:r>
        <w:rPr>
          <w:rFonts w:hint="eastAsia" w:ascii="Times New Roman" w:hAnsi="Times New Roman" w:eastAsia="仿宋_GB2312" w:cs="Times New Roman"/>
          <w:color w:val="auto"/>
          <w:sz w:val="32"/>
          <w:szCs w:val="32"/>
          <w:highlight w:val="none"/>
          <w:lang w:val="en-US" w:eastAsia="zh-CN"/>
        </w:rPr>
        <w:t>2）</w:t>
      </w:r>
      <w:r>
        <w:rPr>
          <w:rFonts w:ascii="Times New Roman" w:hAnsi="Times New Roman" w:eastAsia="仿宋_GB2312" w:cs="Times New Roman"/>
          <w:color w:val="auto"/>
          <w:sz w:val="32"/>
          <w:szCs w:val="32"/>
          <w:highlight w:val="none"/>
        </w:rPr>
        <w:t>。</w:t>
      </w:r>
      <w:r>
        <w:rPr>
          <w:rFonts w:ascii="Times New Roman" w:hAnsi="Times New Roman" w:eastAsia="仿宋_GB2312" w:cs="Times New Roman"/>
          <w:bCs/>
          <w:color w:val="auto"/>
          <w:sz w:val="32"/>
          <w:szCs w:val="32"/>
          <w:highlight w:val="none"/>
        </w:rPr>
        <w:t>已在广东省相关部门完成注册的虚拟电厂运营商</w:t>
      </w:r>
      <w:r>
        <w:rPr>
          <w:rFonts w:ascii="Times New Roman" w:hAnsi="Times New Roman" w:eastAsia="仿宋_GB2312" w:cs="Times New Roman"/>
          <w:color w:val="auto"/>
          <w:sz w:val="32"/>
          <w:szCs w:val="32"/>
          <w:highlight w:val="none"/>
        </w:rPr>
        <w:t>只需将安全承诺书同步至管理中心。</w:t>
      </w:r>
    </w:p>
    <w:p w14:paraId="661DDC08">
      <w:pPr>
        <w:pStyle w:val="33"/>
        <w:numPr>
          <w:ilvl w:val="0"/>
          <w:numId w:val="5"/>
        </w:numPr>
        <w:tabs>
          <w:tab w:val="left" w:pos="6720"/>
        </w:tabs>
        <w:spacing w:line="560" w:lineRule="exact"/>
        <w:ind w:firstLine="729" w:firstLineChars="228"/>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Cs/>
          <w:color w:val="auto"/>
          <w:sz w:val="32"/>
          <w:szCs w:val="32"/>
          <w:highlight w:val="none"/>
        </w:rPr>
        <w:t>[代理协议]</w:t>
      </w:r>
      <w:r>
        <w:rPr>
          <w:rFonts w:ascii="Times New Roman" w:hAnsi="Times New Roman" w:eastAsia="仿宋_GB2312" w:cs="Times New Roman"/>
          <w:color w:val="auto"/>
          <w:sz w:val="32"/>
          <w:szCs w:val="32"/>
          <w:highlight w:val="none"/>
        </w:rPr>
        <w:t>虚拟电厂运营商</w:t>
      </w:r>
      <w:r>
        <w:rPr>
          <w:rFonts w:hint="default" w:ascii="Times New Roman" w:hAnsi="Times New Roman" w:eastAsia="仿宋_GB2312" w:cs="Times New Roman"/>
          <w:color w:val="auto"/>
          <w:sz w:val="32"/>
          <w:szCs w:val="32"/>
          <w:highlight w:val="none"/>
        </w:rPr>
        <w:t>应按照广州市虚拟电厂电力响应服务代理协议签订</w:t>
      </w:r>
      <w:r>
        <w:rPr>
          <w:rFonts w:ascii="Times New Roman" w:hAnsi="Times New Roman" w:eastAsia="仿宋_GB2312" w:cs="Times New Roman"/>
          <w:color w:val="auto"/>
          <w:sz w:val="32"/>
          <w:szCs w:val="32"/>
          <w:highlight w:val="none"/>
        </w:rPr>
        <w:t>虚拟电厂参与响应服务</w:t>
      </w:r>
      <w:r>
        <w:rPr>
          <w:rFonts w:hint="default" w:ascii="Times New Roman" w:hAnsi="Times New Roman" w:eastAsia="仿宋_GB2312" w:cs="Times New Roman"/>
          <w:color w:val="auto"/>
          <w:sz w:val="32"/>
          <w:szCs w:val="32"/>
          <w:highlight w:val="none"/>
        </w:rPr>
        <w:t>代理协议</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附录3</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，协议信息包括但不限于代理周期、收益分成等，作为</w:t>
      </w:r>
      <w:r>
        <w:rPr>
          <w:rFonts w:ascii="Times New Roman" w:hAnsi="Times New Roman" w:eastAsia="仿宋_GB2312" w:cs="Times New Roman"/>
          <w:color w:val="auto"/>
          <w:sz w:val="32"/>
          <w:szCs w:val="32"/>
          <w:highlight w:val="none"/>
        </w:rPr>
        <w:t>虚拟电厂运营商</w:t>
      </w:r>
      <w:r>
        <w:rPr>
          <w:rFonts w:hint="default" w:ascii="Times New Roman" w:hAnsi="Times New Roman" w:eastAsia="仿宋_GB2312" w:cs="Times New Roman"/>
          <w:color w:val="auto"/>
          <w:sz w:val="32"/>
          <w:szCs w:val="32"/>
          <w:highlight w:val="none"/>
        </w:rPr>
        <w:t>与代理用户的结算依据</w:t>
      </w:r>
      <w:r>
        <w:rPr>
          <w:rFonts w:ascii="Times New Roman" w:hAnsi="Times New Roman" w:eastAsia="仿宋_GB2312" w:cs="Times New Roman"/>
          <w:color w:val="auto"/>
          <w:sz w:val="32"/>
          <w:szCs w:val="32"/>
          <w:highlight w:val="none"/>
        </w:rPr>
        <w:t>。</w:t>
      </w:r>
    </w:p>
    <w:p w14:paraId="066A146D">
      <w:pPr>
        <w:pStyle w:val="33"/>
        <w:numPr>
          <w:ilvl w:val="255"/>
          <w:numId w:val="0"/>
        </w:numPr>
        <w:tabs>
          <w:tab w:val="left" w:pos="6720"/>
        </w:tabs>
        <w:spacing w:line="560" w:lineRule="exact"/>
        <w:ind w:firstLine="640" w:firstLineChars="200"/>
        <w:rPr>
          <w:rFonts w:hint="default" w:ascii="Times New Roman" w:hAnsi="Times New Roman" w:eastAsia="仿宋_GB2312" w:cs="Times New Roman"/>
          <w:color w:val="auto"/>
          <w:sz w:val="32"/>
          <w:szCs w:val="32"/>
          <w:highlight w:val="none"/>
        </w:rPr>
      </w:pPr>
      <w:r>
        <w:rPr>
          <w:rFonts w:ascii="Times New Roman" w:hAnsi="Times New Roman" w:eastAsia="仿宋_GB2312" w:cs="Times New Roman"/>
          <w:bCs/>
          <w:color w:val="auto"/>
          <w:sz w:val="32"/>
          <w:szCs w:val="32"/>
          <w:highlight w:val="none"/>
        </w:rPr>
        <w:t>已在广东省相关部门完成注册的虚拟电厂运营商</w:t>
      </w:r>
      <w:r>
        <w:rPr>
          <w:rFonts w:hint="eastAsia" w:ascii="Times New Roman" w:hAnsi="Times New Roman" w:eastAsia="仿宋_GB2312" w:cs="Times New Roman"/>
          <w:bCs/>
          <w:color w:val="auto"/>
          <w:sz w:val="32"/>
          <w:szCs w:val="32"/>
          <w:highlight w:val="none"/>
          <w:lang w:eastAsia="zh-CN"/>
        </w:rPr>
        <w:t>，</w:t>
      </w:r>
      <w:r>
        <w:rPr>
          <w:rFonts w:ascii="Times New Roman" w:hAnsi="Times New Roman" w:eastAsia="仿宋_GB2312" w:cs="Times New Roman"/>
          <w:color w:val="auto"/>
          <w:sz w:val="32"/>
          <w:szCs w:val="32"/>
          <w:highlight w:val="none"/>
        </w:rPr>
        <w:t>需将</w:t>
      </w:r>
      <w:r>
        <w:rPr>
          <w:rFonts w:hint="eastAsia" w:ascii="Times New Roman" w:hAnsi="Times New Roman" w:eastAsia="仿宋_GB2312" w:cs="Times New Roman"/>
          <w:color w:val="auto"/>
          <w:sz w:val="32"/>
          <w:szCs w:val="32"/>
          <w:highlight w:val="none"/>
          <w:lang w:val="en-US" w:eastAsia="zh-CN"/>
        </w:rPr>
        <w:t>其聚合的</w:t>
      </w:r>
      <w:r>
        <w:rPr>
          <w:rFonts w:ascii="Times New Roman" w:hAnsi="Times New Roman" w:eastAsia="仿宋_GB2312" w:cs="Times New Roman"/>
          <w:bCs/>
          <w:color w:val="auto"/>
          <w:sz w:val="32"/>
          <w:szCs w:val="32"/>
          <w:highlight w:val="none"/>
        </w:rPr>
        <w:t>广州市内</w:t>
      </w:r>
      <w:r>
        <w:rPr>
          <w:rFonts w:hint="eastAsia" w:ascii="Times New Roman" w:hAnsi="Times New Roman" w:eastAsia="仿宋_GB2312" w:cs="Times New Roman"/>
          <w:bCs/>
          <w:color w:val="auto"/>
          <w:sz w:val="32"/>
          <w:szCs w:val="32"/>
          <w:highlight w:val="none"/>
          <w:lang w:eastAsia="zh-CN"/>
        </w:rPr>
        <w:t>用户</w:t>
      </w:r>
      <w:r>
        <w:rPr>
          <w:rFonts w:ascii="Times New Roman" w:hAnsi="Times New Roman" w:eastAsia="仿宋_GB2312" w:cs="Times New Roman"/>
          <w:bCs/>
          <w:color w:val="auto"/>
          <w:sz w:val="32"/>
          <w:szCs w:val="32"/>
          <w:highlight w:val="none"/>
        </w:rPr>
        <w:t>的</w:t>
      </w:r>
      <w:r>
        <w:rPr>
          <w:rFonts w:ascii="Times New Roman" w:hAnsi="Times New Roman" w:eastAsia="仿宋_GB2312" w:cs="Times New Roman"/>
          <w:color w:val="auto"/>
          <w:sz w:val="32"/>
          <w:szCs w:val="32"/>
          <w:highlight w:val="none"/>
        </w:rPr>
        <w:t>代理协议同步至管理中心，无需重复签订。</w:t>
      </w:r>
    </w:p>
    <w:p w14:paraId="01292C35">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退出管理</w:t>
      </w:r>
    </w:p>
    <w:p w14:paraId="6630882E">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虚拟电厂运营商退出管理</w:t>
      </w:r>
      <w:r>
        <w:rPr>
          <w:rFonts w:ascii="Times New Roman" w:hAnsi="Times New Roman" w:eastAsia="仿宋_GB2312" w:cs="Times New Roman"/>
          <w:color w:val="auto"/>
          <w:sz w:val="32"/>
          <w:szCs w:val="32"/>
          <w:highlight w:val="none"/>
        </w:rPr>
        <w:t>]</w:t>
      </w:r>
    </w:p>
    <w:p w14:paraId="0BD40A53">
      <w:pPr>
        <w:pStyle w:val="33"/>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（一）虚拟电厂运营商申请退出的，应提前</w:t>
      </w:r>
      <w:r>
        <w:rPr>
          <w:rFonts w:hint="eastAsia" w:ascii="Times New Roman" w:hAnsi="Times New Roman" w:eastAsia="仿宋_GB2312" w:cs="Times New Roman"/>
          <w:bCs/>
          <w:color w:val="auto"/>
          <w:sz w:val="32"/>
          <w:szCs w:val="32"/>
          <w:highlight w:val="none"/>
          <w:lang w:val="en-US" w:eastAsia="zh-CN"/>
        </w:rPr>
        <w:t>20</w:t>
      </w:r>
      <w:r>
        <w:rPr>
          <w:rFonts w:ascii="Times New Roman" w:hAnsi="Times New Roman" w:eastAsia="仿宋_GB2312" w:cs="Times New Roman"/>
          <w:bCs/>
          <w:color w:val="auto"/>
          <w:sz w:val="32"/>
          <w:szCs w:val="32"/>
          <w:highlight w:val="none"/>
        </w:rPr>
        <w:t>个工作日向管理中心提交退出申请（附录</w:t>
      </w:r>
      <w:r>
        <w:rPr>
          <w:rFonts w:hint="eastAsia" w:ascii="Times New Roman" w:hAnsi="Times New Roman" w:eastAsia="仿宋_GB2312" w:cs="Times New Roman"/>
          <w:bCs/>
          <w:color w:val="auto"/>
          <w:sz w:val="32"/>
          <w:szCs w:val="32"/>
          <w:highlight w:val="none"/>
          <w:lang w:val="en-US" w:eastAsia="zh-CN"/>
        </w:rPr>
        <w:t>4</w:t>
      </w:r>
      <w:r>
        <w:rPr>
          <w:rFonts w:ascii="Times New Roman" w:hAnsi="Times New Roman" w:eastAsia="仿宋_GB2312" w:cs="Times New Roman"/>
          <w:bCs/>
          <w:color w:val="auto"/>
          <w:sz w:val="32"/>
          <w:szCs w:val="32"/>
          <w:highlight w:val="none"/>
        </w:rPr>
        <w:t>）明确退出原因和计划的终止响应月。终止响应月之前（含当月），相关合同仍由该虚拟电厂运营商继续履行，并处理好相关事宜。</w:t>
      </w:r>
    </w:p>
    <w:p w14:paraId="54A2360B">
      <w:pPr>
        <w:pStyle w:val="33"/>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（二）申请退出之前，虚拟电厂运营商应与聚合资源协商解除相关协议及合同，缴清响应服务费用、手续费及欠费，处理完毕尚未完成交割的成交电量。</w:t>
      </w:r>
    </w:p>
    <w:p w14:paraId="5AAE86BF">
      <w:pPr>
        <w:pStyle w:val="33"/>
        <w:numPr>
          <w:ilvl w:val="255"/>
          <w:numId w:val="0"/>
        </w:numPr>
        <w:tabs>
          <w:tab w:val="left" w:pos="6720"/>
        </w:tabs>
        <w:spacing w:line="560" w:lineRule="exact"/>
        <w:ind w:firstLine="640" w:firstLineChars="200"/>
        <w:rPr>
          <w:rFonts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（三）需要提交的材料及办理流程，响应组织培育初期参照《售电公司管理办法》执行。</w:t>
      </w:r>
    </w:p>
    <w:p w14:paraId="74883C6F">
      <w:pPr>
        <w:pStyle w:val="33"/>
        <w:numPr>
          <w:ilvl w:val="255"/>
          <w:numId w:val="0"/>
        </w:numPr>
        <w:tabs>
          <w:tab w:val="left" w:pos="6720"/>
        </w:tabs>
        <w:spacing w:line="560" w:lineRule="exact"/>
        <w:ind w:firstLine="640" w:firstLineChars="200"/>
        <w:rPr>
          <w:rFonts w:hint="default" w:ascii="Times New Roman" w:hAnsi="Times New Roman" w:eastAsia="仿宋_GB2312" w:cs="Times New Roman"/>
          <w:bCs/>
          <w:color w:val="auto"/>
          <w:sz w:val="32"/>
          <w:szCs w:val="32"/>
          <w:highlight w:val="none"/>
        </w:rPr>
      </w:pPr>
    </w:p>
    <w:p w14:paraId="22874956">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接入管理</w:t>
      </w:r>
    </w:p>
    <w:p w14:paraId="0BE7D483">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[系统运行数据接入要求]虚拟电厂运营商应保证各类运行数据真实、完整、准确和可靠，</w:t>
      </w:r>
      <w:r>
        <w:rPr>
          <w:rFonts w:hint="default" w:ascii="Times New Roman" w:hAnsi="Times New Roman" w:eastAsia="仿宋_GB2312" w:cs="Times New Roman"/>
          <w:bCs/>
          <w:color w:val="auto"/>
          <w:sz w:val="32"/>
          <w:szCs w:val="32"/>
          <w:highlight w:val="none"/>
        </w:rPr>
        <w:t>实时数据采集设备应符合国家、行业相关技术规范并具备分钟级数据采集和传输能力，采集数项应包括</w:t>
      </w:r>
      <w:r>
        <w:rPr>
          <w:rFonts w:ascii="Times New Roman" w:hAnsi="Times New Roman" w:eastAsia="仿宋_GB2312" w:cs="Times New Roman"/>
          <w:bCs/>
          <w:color w:val="auto"/>
          <w:sz w:val="32"/>
          <w:szCs w:val="32"/>
          <w:highlight w:val="none"/>
        </w:rPr>
        <w:t>参与响应服务用户</w:t>
      </w:r>
      <w:r>
        <w:rPr>
          <w:rFonts w:hint="default" w:ascii="Times New Roman" w:hAnsi="Times New Roman" w:eastAsia="仿宋_GB2312" w:cs="Times New Roman"/>
          <w:bCs/>
          <w:color w:val="auto"/>
          <w:sz w:val="32"/>
          <w:szCs w:val="32"/>
          <w:highlight w:val="none"/>
        </w:rPr>
        <w:t>的电压、电流、有功、无功，可选项包括频率、温度、湿度</w:t>
      </w:r>
      <w:r>
        <w:rPr>
          <w:rFonts w:ascii="Times New Roman" w:hAnsi="Times New Roman" w:eastAsia="仿宋_GB2312" w:cs="Times New Roman"/>
          <w:bCs/>
          <w:color w:val="auto"/>
          <w:sz w:val="32"/>
          <w:szCs w:val="32"/>
          <w:highlight w:val="none"/>
        </w:rPr>
        <w:t>等</w:t>
      </w:r>
      <w:r>
        <w:rPr>
          <w:rFonts w:hint="default" w:ascii="Times New Roman" w:hAnsi="Times New Roman" w:eastAsia="仿宋_GB2312" w:cs="Times New Roman"/>
          <w:bCs/>
          <w:color w:val="auto"/>
          <w:sz w:val="32"/>
          <w:szCs w:val="32"/>
          <w:highlight w:val="none"/>
        </w:rPr>
        <w:t>日数据，采集完整度不低于9</w:t>
      </w:r>
      <w:r>
        <w:rPr>
          <w:rFonts w:hint="eastAsia" w:ascii="Times New Roman" w:hAnsi="Times New Roman" w:eastAsia="仿宋_GB2312" w:cs="Times New Roman"/>
          <w:bCs/>
          <w:color w:val="auto"/>
          <w:sz w:val="32"/>
          <w:szCs w:val="32"/>
          <w:highlight w:val="none"/>
          <w:lang w:val="en-US" w:eastAsia="zh-CN"/>
        </w:rPr>
        <w:t>8</w:t>
      </w:r>
      <w:r>
        <w:rPr>
          <w:rFonts w:hint="default" w:ascii="Times New Roman" w:hAnsi="Times New Roman" w:eastAsia="仿宋_GB2312" w:cs="Times New Roman"/>
          <w:bCs/>
          <w:color w:val="auto"/>
          <w:sz w:val="32"/>
          <w:szCs w:val="32"/>
          <w:highlight w:val="none"/>
        </w:rPr>
        <w:t>%，数据采集误差小于0.5%。</w:t>
      </w:r>
    </w:p>
    <w:p w14:paraId="7DA0FA83">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接入流程</w:t>
      </w:r>
      <w:r>
        <w:rPr>
          <w:rFonts w:hint="eastAsia" w:ascii="Times New Roman" w:hAnsi="Times New Roman" w:eastAsia="仿宋_GB2312" w:cs="Times New Roman"/>
          <w:bCs/>
          <w:color w:val="auto"/>
          <w:sz w:val="32"/>
          <w:szCs w:val="32"/>
          <w:highlight w:val="none"/>
          <w:lang w:val="en-US" w:eastAsia="zh-CN"/>
        </w:rPr>
        <w:t>及申请</w:t>
      </w:r>
      <w:r>
        <w:rPr>
          <w:rFonts w:hint="default" w:ascii="Times New Roman" w:hAnsi="Times New Roman" w:eastAsia="仿宋_GB2312" w:cs="Times New Roman"/>
          <w:bCs/>
          <w:color w:val="auto"/>
          <w:sz w:val="32"/>
          <w:szCs w:val="32"/>
          <w:highlight w:val="none"/>
        </w:rPr>
        <w:t>]虚拟电厂参与</w:t>
      </w:r>
      <w:r>
        <w:rPr>
          <w:rFonts w:ascii="Times New Roman" w:hAnsi="Times New Roman" w:eastAsia="仿宋_GB2312" w:cs="Times New Roman"/>
          <w:bCs/>
          <w:color w:val="auto"/>
          <w:sz w:val="32"/>
          <w:szCs w:val="32"/>
          <w:highlight w:val="none"/>
        </w:rPr>
        <w:t>响应服务</w:t>
      </w:r>
      <w:r>
        <w:rPr>
          <w:rFonts w:hint="default" w:ascii="Times New Roman" w:hAnsi="Times New Roman" w:eastAsia="仿宋_GB2312" w:cs="Times New Roman"/>
          <w:bCs/>
          <w:color w:val="auto"/>
          <w:sz w:val="32"/>
          <w:szCs w:val="32"/>
          <w:highlight w:val="none"/>
        </w:rPr>
        <w:t>前应在</w:t>
      </w:r>
      <w:r>
        <w:rPr>
          <w:rFonts w:ascii="Times New Roman" w:hAnsi="Times New Roman" w:eastAsia="仿宋_GB2312" w:cs="Times New Roman"/>
          <w:bCs/>
          <w:color w:val="auto"/>
          <w:sz w:val="32"/>
          <w:szCs w:val="32"/>
          <w:highlight w:val="none"/>
        </w:rPr>
        <w:t>管理中心办理相关手续</w:t>
      </w:r>
      <w:r>
        <w:rPr>
          <w:rFonts w:hint="default" w:ascii="Times New Roman" w:hAnsi="Times New Roman" w:eastAsia="仿宋_GB2312" w:cs="Times New Roman"/>
          <w:bCs/>
          <w:color w:val="auto"/>
          <w:sz w:val="32"/>
          <w:szCs w:val="32"/>
          <w:highlight w:val="none"/>
        </w:rPr>
        <w:t>，统一接入</w:t>
      </w:r>
      <w:r>
        <w:rPr>
          <w:rFonts w:ascii="Times New Roman" w:hAnsi="Times New Roman" w:eastAsia="仿宋_GB2312" w:cs="Times New Roman"/>
          <w:bCs/>
          <w:color w:val="auto"/>
          <w:sz w:val="32"/>
          <w:szCs w:val="32"/>
          <w:highlight w:val="none"/>
        </w:rPr>
        <w:t>虚拟电厂管理平台</w:t>
      </w:r>
      <w:r>
        <w:rPr>
          <w:rFonts w:hint="default"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并且满足虚拟电厂接入申请要求。</w:t>
      </w:r>
    </w:p>
    <w:p w14:paraId="12827A58">
      <w:pPr>
        <w:pStyle w:val="33"/>
        <w:tabs>
          <w:tab w:val="left" w:pos="6720"/>
        </w:tabs>
        <w:spacing w:line="560" w:lineRule="exact"/>
        <w:ind w:firstLine="640"/>
        <w:rPr>
          <w:rFonts w:hint="default"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（一）建设技术支持系统，按照管理中心相关要求接入虚拟电厂管理平台（附录</w:t>
      </w:r>
      <w:r>
        <w:rPr>
          <w:rFonts w:hint="eastAsia" w:ascii="Times New Roman" w:hAnsi="Times New Roman" w:eastAsia="仿宋_GB2312" w:cs="Times New Roman"/>
          <w:bCs/>
          <w:color w:val="auto"/>
          <w:sz w:val="32"/>
          <w:szCs w:val="32"/>
          <w:highlight w:val="none"/>
          <w:lang w:val="en-US" w:eastAsia="zh-CN"/>
        </w:rPr>
        <w:t>5</w:t>
      </w:r>
      <w:r>
        <w:rPr>
          <w:rFonts w:ascii="Times New Roman" w:hAnsi="Times New Roman" w:eastAsia="仿宋_GB2312" w:cs="Times New Roman"/>
          <w:color w:val="auto"/>
          <w:sz w:val="32"/>
          <w:szCs w:val="32"/>
          <w:highlight w:val="none"/>
        </w:rPr>
        <w:t>）。</w:t>
      </w:r>
    </w:p>
    <w:p w14:paraId="221716E5">
      <w:pPr>
        <w:pStyle w:val="33"/>
        <w:numPr>
          <w:ilvl w:val="255"/>
          <w:numId w:val="0"/>
        </w:numPr>
        <w:tabs>
          <w:tab w:val="left" w:pos="6720"/>
        </w:tabs>
        <w:spacing w:line="560" w:lineRule="exact"/>
        <w:ind w:firstLine="640" w:firstLineChars="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（二）</w:t>
      </w:r>
      <w:r>
        <w:rPr>
          <w:rFonts w:ascii="Times New Roman" w:hAnsi="Times New Roman" w:eastAsia="仿宋_GB2312" w:cs="Times New Roman"/>
          <w:color w:val="auto"/>
          <w:sz w:val="32"/>
          <w:szCs w:val="32"/>
          <w:highlight w:val="none"/>
        </w:rPr>
        <w:t>向管理中心提交接入申请单、聚合用户信息、可调节资源信息等相关资料并盖章。</w:t>
      </w:r>
    </w:p>
    <w:p w14:paraId="42A6801B">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软硬件等</w:t>
      </w:r>
      <w:r>
        <w:rPr>
          <w:rFonts w:hint="eastAsia" w:ascii="Times New Roman" w:hAnsi="Times New Roman" w:eastAsia="仿宋_GB2312" w:cs="Times New Roman"/>
          <w:bCs/>
          <w:color w:val="auto"/>
          <w:sz w:val="32"/>
          <w:szCs w:val="32"/>
          <w:highlight w:val="none"/>
          <w:lang w:val="en-US" w:eastAsia="zh-CN"/>
        </w:rPr>
        <w:t>申请</w:t>
      </w:r>
      <w:r>
        <w:rPr>
          <w:rFonts w:ascii="Times New Roman" w:hAnsi="Times New Roman" w:eastAsia="仿宋_GB2312" w:cs="Times New Roman"/>
          <w:bCs/>
          <w:color w:val="auto"/>
          <w:sz w:val="32"/>
          <w:szCs w:val="32"/>
          <w:highlight w:val="none"/>
        </w:rPr>
        <w:t>材料</w:t>
      </w: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虚拟电厂</w:t>
      </w:r>
      <w:r>
        <w:rPr>
          <w:rFonts w:hint="default" w:ascii="Times New Roman" w:hAnsi="Times New Roman" w:eastAsia="仿宋_GB2312" w:cs="Times New Roman"/>
          <w:bCs/>
          <w:color w:val="auto"/>
          <w:sz w:val="32"/>
          <w:szCs w:val="32"/>
          <w:highlight w:val="none"/>
        </w:rPr>
        <w:t>运营商应拥有具备信息处理、运行监控、业务管理、控制执行等功能的软硬件系统，在</w:t>
      </w:r>
      <w:r>
        <w:rPr>
          <w:rFonts w:ascii="Times New Roman" w:hAnsi="Times New Roman" w:eastAsia="仿宋_GB2312" w:cs="Times New Roman"/>
          <w:bCs/>
          <w:color w:val="auto"/>
          <w:sz w:val="32"/>
          <w:szCs w:val="32"/>
          <w:highlight w:val="none"/>
        </w:rPr>
        <w:t>办理手续环节</w:t>
      </w:r>
      <w:r>
        <w:rPr>
          <w:rFonts w:hint="default" w:ascii="Times New Roman" w:hAnsi="Times New Roman" w:eastAsia="仿宋_GB2312" w:cs="Times New Roman"/>
          <w:bCs/>
          <w:color w:val="auto"/>
          <w:sz w:val="32"/>
          <w:szCs w:val="32"/>
          <w:highlight w:val="none"/>
        </w:rPr>
        <w:t>填写虚拟电厂运营商接入申请表</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附录</w:t>
      </w:r>
      <w:r>
        <w:rPr>
          <w:rFonts w:hint="eastAsia" w:ascii="Times New Roman" w:hAnsi="Times New Roman" w:eastAsia="仿宋_GB2312" w:cs="Times New Roman"/>
          <w:bCs/>
          <w:color w:val="auto"/>
          <w:sz w:val="32"/>
          <w:szCs w:val="32"/>
          <w:highlight w:val="none"/>
          <w:lang w:val="en-US" w:eastAsia="zh-CN"/>
        </w:rPr>
        <w:t>6</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并提供相关材料。应提交的软硬件系统等材料如下</w:t>
      </w:r>
      <w:r>
        <w:rPr>
          <w:rFonts w:ascii="Times New Roman" w:hAnsi="Times New Roman" w:eastAsia="仿宋_GB2312" w:cs="Times New Roman"/>
          <w:bCs/>
          <w:color w:val="auto"/>
          <w:sz w:val="32"/>
          <w:szCs w:val="32"/>
          <w:highlight w:val="none"/>
        </w:rPr>
        <w:t>：</w:t>
      </w:r>
    </w:p>
    <w:p w14:paraId="26FA64CB">
      <w:pPr>
        <w:pStyle w:val="33"/>
        <w:numPr>
          <w:ilvl w:val="255"/>
          <w:numId w:val="0"/>
        </w:numPr>
        <w:tabs>
          <w:tab w:val="left" w:pos="6720"/>
        </w:tabs>
        <w:spacing w:line="560" w:lineRule="exact"/>
        <w:ind w:firstLine="640"/>
        <w:rPr>
          <w:rFonts w:hint="eastAsia" w:ascii="Times New Roman" w:hAnsi="Times New Roman" w:eastAsia="仿宋_GB2312" w:cs="Times New Roman"/>
          <w:bCs/>
          <w:color w:val="auto"/>
          <w:sz w:val="32"/>
          <w:szCs w:val="32"/>
          <w:highlight w:val="none"/>
          <w:lang w:eastAsia="zh-CN"/>
        </w:rPr>
      </w:pPr>
      <w:r>
        <w:rPr>
          <w:rFonts w:ascii="Times New Roman" w:hAnsi="Times New Roman" w:eastAsia="仿宋_GB2312" w:cs="Times New Roman"/>
          <w:bCs/>
          <w:color w:val="auto"/>
          <w:sz w:val="32"/>
          <w:szCs w:val="32"/>
          <w:highlight w:val="none"/>
        </w:rPr>
        <w:t>（一）</w:t>
      </w:r>
      <w:r>
        <w:rPr>
          <w:rFonts w:hint="default" w:ascii="Times New Roman" w:hAnsi="Times New Roman" w:eastAsia="仿宋_GB2312" w:cs="Times New Roman"/>
          <w:bCs/>
          <w:color w:val="auto"/>
          <w:sz w:val="32"/>
          <w:szCs w:val="32"/>
          <w:highlight w:val="none"/>
        </w:rPr>
        <w:t>由具备网络安全等级测评与检测评估机构服务认证资质的第三方测试机构出具的等级保护测评报告</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二</w:t>
      </w:r>
      <w:r>
        <w:rPr>
          <w:rFonts w:hint="default" w:ascii="Times New Roman" w:hAnsi="Times New Roman" w:eastAsia="仿宋_GB2312" w:cs="Times New Roman"/>
          <w:bCs/>
          <w:color w:val="auto"/>
          <w:sz w:val="32"/>
          <w:szCs w:val="32"/>
          <w:highlight w:val="none"/>
        </w:rPr>
        <w:t>级及以上</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eastAsia="zh-CN"/>
        </w:rPr>
        <w:t>。</w:t>
      </w:r>
    </w:p>
    <w:p w14:paraId="05A2DE39">
      <w:pPr>
        <w:pStyle w:val="33"/>
        <w:numPr>
          <w:ilvl w:val="255"/>
          <w:numId w:val="0"/>
        </w:numPr>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（二）满足《虚拟电厂接入新型电力负荷管理系统相关技术要求》（附录</w:t>
      </w:r>
      <w:r>
        <w:rPr>
          <w:rFonts w:hint="eastAsia" w:ascii="Times New Roman" w:hAnsi="Times New Roman" w:eastAsia="仿宋_GB2312" w:cs="Times New Roman"/>
          <w:bCs/>
          <w:color w:val="auto"/>
          <w:sz w:val="32"/>
          <w:szCs w:val="32"/>
          <w:highlight w:val="none"/>
          <w:lang w:val="en-US" w:eastAsia="zh-CN"/>
        </w:rPr>
        <w:t>7</w:t>
      </w:r>
      <w:r>
        <w:rPr>
          <w:rFonts w:ascii="Times New Roman" w:hAnsi="Times New Roman" w:eastAsia="仿宋_GB2312" w:cs="Times New Roman"/>
          <w:bCs/>
          <w:color w:val="auto"/>
          <w:sz w:val="32"/>
          <w:szCs w:val="32"/>
          <w:highlight w:val="none"/>
        </w:rPr>
        <w:t>）规定的系统功能要求、系统性能要求、数据交互要求、安全防护要求等，并提供由具备CNAS/CMA资质（中国合格评定国家认可委员会认可或中国计量认证）或同等资质能力的第三方机构出具的相关功能测试与性能测试报告</w:t>
      </w:r>
      <w:r>
        <w:rPr>
          <w:rFonts w:hint="eastAsia" w:ascii="Times New Roman" w:hAnsi="Times New Roman" w:eastAsia="仿宋_GB2312" w:cs="Times New Roman"/>
          <w:bCs/>
          <w:color w:val="auto"/>
          <w:sz w:val="32"/>
          <w:szCs w:val="32"/>
          <w:highlight w:val="none"/>
          <w:lang w:eastAsia="zh-CN"/>
        </w:rPr>
        <w:t>。</w:t>
      </w:r>
    </w:p>
    <w:p w14:paraId="763D5B6B">
      <w:pPr>
        <w:pStyle w:val="33"/>
        <w:numPr>
          <w:ilvl w:val="255"/>
          <w:numId w:val="0"/>
        </w:numPr>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（三）虚拟电厂运营商技术支持系统应提供系统功能说明书及字段说明表，应符合虚拟电厂管理平台信息交互接口规范（附录</w:t>
      </w:r>
      <w:r>
        <w:rPr>
          <w:rFonts w:hint="eastAsia" w:ascii="Times New Roman" w:hAnsi="Times New Roman" w:eastAsia="仿宋_GB2312" w:cs="Times New Roman"/>
          <w:bCs/>
          <w:color w:val="auto"/>
          <w:sz w:val="32"/>
          <w:szCs w:val="32"/>
          <w:highlight w:val="none"/>
          <w:lang w:val="en-US" w:eastAsia="zh-CN"/>
        </w:rPr>
        <w:t>8</w:t>
      </w:r>
      <w:r>
        <w:rPr>
          <w:rFonts w:ascii="Times New Roman" w:hAnsi="Times New Roman" w:eastAsia="仿宋_GB2312" w:cs="Times New Roman"/>
          <w:bCs/>
          <w:color w:val="auto"/>
          <w:sz w:val="32"/>
          <w:szCs w:val="32"/>
          <w:highlight w:val="none"/>
        </w:rPr>
        <w:t>）。</w:t>
      </w:r>
    </w:p>
    <w:p w14:paraId="7968A4EE">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[公示内容]管理</w:t>
      </w:r>
      <w:r>
        <w:rPr>
          <w:rFonts w:hint="default" w:ascii="Times New Roman" w:hAnsi="Times New Roman" w:eastAsia="仿宋_GB2312" w:cs="Times New Roman"/>
          <w:bCs/>
          <w:color w:val="auto"/>
          <w:sz w:val="32"/>
          <w:szCs w:val="32"/>
          <w:highlight w:val="none"/>
        </w:rPr>
        <w:t>中心对通过材料审核与系统接入的虚拟电厂运营商进行信息公示。</w:t>
      </w:r>
    </w:p>
    <w:p w14:paraId="3F9927EA">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[公示程序]管理</w:t>
      </w:r>
      <w:r>
        <w:rPr>
          <w:rFonts w:hint="default" w:ascii="Times New Roman" w:hAnsi="Times New Roman" w:eastAsia="仿宋_GB2312" w:cs="Times New Roman"/>
          <w:bCs/>
          <w:color w:val="auto"/>
          <w:sz w:val="32"/>
          <w:szCs w:val="32"/>
          <w:highlight w:val="none"/>
        </w:rPr>
        <w:t>中心对已完成材料审核</w:t>
      </w:r>
      <w:r>
        <w:rPr>
          <w:rFonts w:hint="eastAsia" w:ascii="Times New Roman" w:hAnsi="Times New Roman" w:eastAsia="仿宋_GB2312" w:cs="Times New Roman"/>
          <w:bCs/>
          <w:color w:val="auto"/>
          <w:sz w:val="32"/>
          <w:szCs w:val="32"/>
          <w:highlight w:val="none"/>
          <w:lang w:val="en-US" w:eastAsia="zh-CN"/>
        </w:rPr>
        <w:t>、</w:t>
      </w:r>
      <w:r>
        <w:rPr>
          <w:rFonts w:hint="default" w:ascii="Times New Roman" w:hAnsi="Times New Roman" w:eastAsia="仿宋_GB2312" w:cs="Times New Roman"/>
          <w:bCs/>
          <w:color w:val="auto"/>
          <w:sz w:val="32"/>
          <w:szCs w:val="32"/>
          <w:highlight w:val="none"/>
        </w:rPr>
        <w:t>接入的虚拟电厂</w:t>
      </w:r>
      <w:r>
        <w:rPr>
          <w:rFonts w:hint="eastAsia" w:ascii="Times New Roman" w:hAnsi="Times New Roman" w:eastAsia="仿宋_GB2312" w:cs="Times New Roman"/>
          <w:bCs/>
          <w:color w:val="auto"/>
          <w:sz w:val="32"/>
          <w:szCs w:val="32"/>
          <w:highlight w:val="none"/>
          <w:lang w:eastAsia="zh-CN"/>
        </w:rPr>
        <w:t>运营商通过线上或线下方式</w:t>
      </w:r>
      <w:r>
        <w:rPr>
          <w:rFonts w:hint="default" w:ascii="Times New Roman" w:hAnsi="Times New Roman" w:eastAsia="仿宋_GB2312" w:cs="Times New Roman"/>
          <w:bCs/>
          <w:color w:val="auto"/>
          <w:sz w:val="32"/>
          <w:szCs w:val="32"/>
          <w:highlight w:val="none"/>
        </w:rPr>
        <w:t>进行公示。公示期满无异议的虚拟电厂</w:t>
      </w:r>
      <w:r>
        <w:rPr>
          <w:rFonts w:hint="eastAsia" w:ascii="Times New Roman" w:hAnsi="Times New Roman" w:eastAsia="仿宋_GB2312" w:cs="Times New Roman"/>
          <w:bCs/>
          <w:color w:val="auto"/>
          <w:sz w:val="32"/>
          <w:szCs w:val="32"/>
          <w:highlight w:val="none"/>
          <w:lang w:val="en-US" w:eastAsia="zh-CN"/>
        </w:rPr>
        <w:t>运营商</w:t>
      </w:r>
      <w:r>
        <w:rPr>
          <w:rFonts w:hint="default" w:ascii="Times New Roman" w:hAnsi="Times New Roman" w:eastAsia="仿宋_GB2312" w:cs="Times New Roman"/>
          <w:bCs/>
          <w:color w:val="auto"/>
          <w:sz w:val="32"/>
          <w:szCs w:val="32"/>
          <w:highlight w:val="none"/>
        </w:rPr>
        <w:t>纳入</w:t>
      </w:r>
      <w:r>
        <w:rPr>
          <w:rFonts w:ascii="Times New Roman" w:hAnsi="Times New Roman" w:eastAsia="仿宋_GB2312" w:cs="Times New Roman"/>
          <w:bCs/>
          <w:color w:val="auto"/>
          <w:sz w:val="32"/>
          <w:szCs w:val="32"/>
          <w:highlight w:val="none"/>
        </w:rPr>
        <w:t>广州市</w:t>
      </w:r>
      <w:r>
        <w:rPr>
          <w:rFonts w:hint="default" w:ascii="Times New Roman" w:hAnsi="Times New Roman" w:eastAsia="仿宋_GB2312" w:cs="Times New Roman"/>
          <w:bCs/>
          <w:color w:val="auto"/>
          <w:sz w:val="32"/>
          <w:szCs w:val="32"/>
          <w:highlight w:val="none"/>
        </w:rPr>
        <w:t>虚拟电厂</w:t>
      </w:r>
      <w:r>
        <w:rPr>
          <w:rFonts w:hint="eastAsia" w:ascii="Times New Roman" w:hAnsi="Times New Roman" w:eastAsia="仿宋_GB2312" w:cs="Times New Roman"/>
          <w:bCs/>
          <w:color w:val="auto"/>
          <w:sz w:val="32"/>
          <w:szCs w:val="32"/>
          <w:highlight w:val="none"/>
          <w:lang w:val="en-US" w:eastAsia="zh-CN"/>
        </w:rPr>
        <w:t>运营商</w:t>
      </w:r>
      <w:r>
        <w:rPr>
          <w:rFonts w:hint="default" w:ascii="Times New Roman" w:hAnsi="Times New Roman" w:eastAsia="仿宋_GB2312" w:cs="Times New Roman"/>
          <w:bCs/>
          <w:color w:val="auto"/>
          <w:sz w:val="32"/>
          <w:szCs w:val="32"/>
          <w:highlight w:val="none"/>
        </w:rPr>
        <w:t>目录，</w:t>
      </w:r>
      <w:r>
        <w:rPr>
          <w:rFonts w:hint="eastAsia" w:ascii="Times New Roman" w:hAnsi="Times New Roman" w:eastAsia="仿宋_GB2312" w:cs="Times New Roman"/>
          <w:bCs/>
          <w:color w:val="auto"/>
          <w:sz w:val="32"/>
          <w:szCs w:val="32"/>
          <w:highlight w:val="none"/>
          <w:lang w:val="en-US" w:eastAsia="zh-CN"/>
        </w:rPr>
        <w:t>并与管理中心签订电力负荷管理协议（附录9）</w:t>
      </w:r>
      <w:r>
        <w:rPr>
          <w:rFonts w:hint="default" w:ascii="Times New Roman" w:hAnsi="Times New Roman" w:eastAsia="仿宋_GB2312" w:cs="Times New Roman"/>
          <w:bCs/>
          <w:color w:val="auto"/>
          <w:sz w:val="32"/>
          <w:szCs w:val="32"/>
          <w:highlight w:val="none"/>
        </w:rPr>
        <w:t>。</w:t>
      </w:r>
    </w:p>
    <w:p w14:paraId="524449BB">
      <w:pPr>
        <w:pStyle w:val="33"/>
        <w:numPr>
          <w:ilvl w:val="0"/>
          <w:numId w:val="0"/>
        </w:numPr>
        <w:tabs>
          <w:tab w:val="left" w:pos="6720"/>
        </w:tabs>
        <w:spacing w:line="560" w:lineRule="exact"/>
        <w:ind w:left="479" w:leftChars="228"/>
        <w:rPr>
          <w:rFonts w:hint="default" w:ascii="Times New Roman" w:hAnsi="Times New Roman" w:eastAsia="仿宋_GB2312" w:cs="Times New Roman"/>
          <w:bCs/>
          <w:color w:val="auto"/>
          <w:sz w:val="32"/>
          <w:szCs w:val="32"/>
          <w:highlight w:val="none"/>
        </w:rPr>
      </w:pPr>
    </w:p>
    <w:p w14:paraId="3CC608A6">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运行管理</w:t>
      </w:r>
    </w:p>
    <w:p w14:paraId="04E1C6BB">
      <w:pPr>
        <w:pStyle w:val="28"/>
        <w:widowControl/>
        <w:numPr>
          <w:ilvl w:val="1"/>
          <w:numId w:val="4"/>
        </w:numPr>
        <w:adjustRightInd w:val="0"/>
        <w:snapToGrid w:val="0"/>
        <w:spacing w:line="560" w:lineRule="exact"/>
        <w:ind w:firstLineChars="0"/>
        <w:jc w:val="center"/>
        <w:outlineLvl w:val="1"/>
        <w:rPr>
          <w:rFonts w:hint="eastAsia" w:ascii="仿宋" w:hAnsi="仿宋" w:eastAsia="仿宋" w:cs="仿宋"/>
          <w:b/>
          <w:bCs w:val="0"/>
          <w:color w:val="auto"/>
          <w:sz w:val="32"/>
          <w:szCs w:val="32"/>
          <w:highlight w:val="none"/>
        </w:rPr>
      </w:pPr>
      <w:r>
        <w:rPr>
          <w:rFonts w:hint="eastAsia" w:ascii="仿宋" w:hAnsi="仿宋" w:eastAsia="仿宋" w:cs="仿宋"/>
          <w:b/>
          <w:bCs w:val="0"/>
          <w:color w:val="auto"/>
          <w:sz w:val="32"/>
          <w:szCs w:val="32"/>
          <w:highlight w:val="none"/>
        </w:rPr>
        <w:t>基础运行</w:t>
      </w:r>
    </w:p>
    <w:p w14:paraId="41B9335E">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[运行监测]管理中心通过虚拟电厂管理平台对虚拟电厂开展运行监测，包括对虚拟电厂及其聚合的</w:t>
      </w:r>
      <w:r>
        <w:rPr>
          <w:rFonts w:hint="eastAsia" w:ascii="Times New Roman" w:hAnsi="Times New Roman" w:eastAsia="仿宋_GB2312" w:cs="Times New Roman"/>
          <w:bCs/>
          <w:color w:val="auto"/>
          <w:sz w:val="32"/>
          <w:szCs w:val="32"/>
          <w:highlight w:val="none"/>
          <w:lang w:eastAsia="zh-CN"/>
        </w:rPr>
        <w:t>用户</w:t>
      </w:r>
      <w:r>
        <w:rPr>
          <w:rFonts w:ascii="Times New Roman" w:hAnsi="Times New Roman" w:eastAsia="仿宋_GB2312" w:cs="Times New Roman"/>
          <w:bCs/>
          <w:color w:val="auto"/>
          <w:sz w:val="32"/>
          <w:szCs w:val="32"/>
          <w:highlight w:val="none"/>
        </w:rPr>
        <w:t>、可调节资源的运行类数据进行实时监测。</w:t>
      </w:r>
    </w:p>
    <w:p w14:paraId="6F0C06E9">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[负荷管理终端管理]虚拟电厂运营商机房的负荷管理终端由管理中心负责日常运维管理，及时发现、处理设备运行故障</w:t>
      </w:r>
      <w:r>
        <w:rPr>
          <w:rFonts w:hint="eastAsia" w:ascii="Times New Roman" w:hAnsi="Times New Roman" w:eastAsia="仿宋_GB2312" w:cs="Times New Roman"/>
          <w:bCs/>
          <w:color w:val="auto"/>
          <w:sz w:val="32"/>
          <w:szCs w:val="32"/>
          <w:highlight w:val="none"/>
          <w:lang w:eastAsia="zh-CN"/>
        </w:rPr>
        <w:t>，</w:t>
      </w:r>
      <w:r>
        <w:rPr>
          <w:rFonts w:ascii="Times New Roman" w:hAnsi="Times New Roman" w:eastAsia="仿宋_GB2312" w:cs="Times New Roman"/>
          <w:bCs/>
          <w:color w:val="auto"/>
          <w:sz w:val="32"/>
          <w:szCs w:val="32"/>
          <w:highlight w:val="none"/>
        </w:rPr>
        <w:t>确保数据采集完整率不低于99%。</w:t>
      </w:r>
    </w:p>
    <w:p w14:paraId="731E7AAD">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color w:val="auto"/>
          <w:sz w:val="32"/>
          <w:szCs w:val="32"/>
          <w:highlight w:val="none"/>
        </w:rPr>
        <w:t>[</w:t>
      </w:r>
      <w:r>
        <w:rPr>
          <w:rFonts w:ascii="Times New Roman" w:hAnsi="Times New Roman" w:eastAsia="仿宋_GB2312" w:cs="Times New Roman"/>
          <w:bCs/>
          <w:color w:val="auto"/>
          <w:sz w:val="32"/>
          <w:szCs w:val="32"/>
          <w:highlight w:val="none"/>
        </w:rPr>
        <w:t>响应主体</w:t>
      </w:r>
      <w:r>
        <w:rPr>
          <w:rFonts w:ascii="Times New Roman" w:hAnsi="Times New Roman" w:eastAsia="仿宋_GB2312" w:cs="Times New Roman"/>
          <w:color w:val="auto"/>
          <w:sz w:val="32"/>
          <w:szCs w:val="32"/>
          <w:highlight w:val="none"/>
        </w:rPr>
        <w:t>运行管理</w:t>
      </w:r>
      <w:r>
        <w:rPr>
          <w:rFonts w:hint="default" w:ascii="Times New Roman" w:hAnsi="Times New Roman" w:eastAsia="仿宋_GB2312" w:cs="Times New Roman"/>
          <w:color w:val="auto"/>
          <w:sz w:val="32"/>
          <w:szCs w:val="32"/>
          <w:highlight w:val="none"/>
        </w:rPr>
        <w:t>]</w:t>
      </w:r>
      <w:r>
        <w:rPr>
          <w:rFonts w:ascii="Times New Roman" w:hAnsi="Times New Roman" w:eastAsia="仿宋_GB2312" w:cs="Times New Roman"/>
          <w:color w:val="auto"/>
          <w:sz w:val="32"/>
          <w:szCs w:val="32"/>
          <w:highlight w:val="none"/>
        </w:rPr>
        <w:t>对于</w:t>
      </w:r>
      <w:r>
        <w:rPr>
          <w:rFonts w:ascii="Times New Roman" w:hAnsi="Times New Roman" w:eastAsia="仿宋_GB2312" w:cs="Times New Roman"/>
          <w:bCs/>
          <w:color w:val="auto"/>
          <w:sz w:val="32"/>
          <w:szCs w:val="32"/>
          <w:highlight w:val="none"/>
        </w:rPr>
        <w:t>响应主体</w:t>
      </w:r>
      <w:r>
        <w:rPr>
          <w:rFonts w:ascii="Times New Roman" w:hAnsi="Times New Roman" w:eastAsia="仿宋_GB2312" w:cs="Times New Roman"/>
          <w:color w:val="auto"/>
          <w:sz w:val="32"/>
          <w:szCs w:val="32"/>
          <w:highlight w:val="none"/>
        </w:rPr>
        <w:t>的技术支持系统，需</w:t>
      </w:r>
      <w:r>
        <w:rPr>
          <w:rFonts w:ascii="Times New Roman" w:hAnsi="Times New Roman" w:eastAsia="仿宋_GB2312" w:cs="Times New Roman"/>
          <w:bCs/>
          <w:color w:val="auto"/>
          <w:sz w:val="32"/>
          <w:szCs w:val="32"/>
          <w:highlight w:val="none"/>
        </w:rPr>
        <w:t>确保系统稳定可靠，数据真实、完整、准确和可靠，并</w:t>
      </w:r>
      <w:r>
        <w:rPr>
          <w:rFonts w:ascii="Times New Roman" w:hAnsi="Times New Roman" w:eastAsia="仿宋_GB2312" w:cs="Times New Roman"/>
          <w:color w:val="auto"/>
          <w:sz w:val="32"/>
          <w:szCs w:val="32"/>
          <w:highlight w:val="none"/>
        </w:rPr>
        <w:t>通过RS485-以太网转换器、负荷管理终端接入虚拟电厂管理平台，并建立软硬件系统的维护检修制度和日常应急预案。</w:t>
      </w:r>
    </w:p>
    <w:p w14:paraId="37DF3DC1">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ascii="Times New Roman" w:hAnsi="Times New Roman" w:eastAsia="黑体" w:cs="Times New Roman"/>
          <w:bCs/>
          <w:color w:val="auto"/>
          <w:sz w:val="32"/>
          <w:szCs w:val="32"/>
          <w:highlight w:val="none"/>
        </w:rPr>
        <w:t>[</w:t>
      </w:r>
      <w:r>
        <w:rPr>
          <w:rFonts w:ascii="Times New Roman" w:hAnsi="Times New Roman" w:eastAsia="仿宋_GB2312" w:cs="Times New Roman"/>
          <w:bCs/>
          <w:color w:val="auto"/>
          <w:sz w:val="32"/>
          <w:szCs w:val="32"/>
          <w:highlight w:val="none"/>
        </w:rPr>
        <w:t>可调节能力管理</w:t>
      </w:r>
      <w:r>
        <w:rPr>
          <w:rFonts w:ascii="Times New Roman" w:hAnsi="Times New Roman" w:eastAsia="黑体" w:cs="Times New Roman"/>
          <w:bCs/>
          <w:color w:val="auto"/>
          <w:sz w:val="32"/>
          <w:szCs w:val="32"/>
          <w:highlight w:val="none"/>
        </w:rPr>
        <w:t>]</w:t>
      </w:r>
      <w:r>
        <w:rPr>
          <w:rFonts w:ascii="Times New Roman" w:hAnsi="Times New Roman" w:eastAsia="仿宋_GB2312" w:cs="Times New Roman"/>
          <w:bCs/>
          <w:color w:val="auto"/>
          <w:sz w:val="32"/>
          <w:szCs w:val="32"/>
          <w:highlight w:val="none"/>
        </w:rPr>
        <w:t>管理中心对虚拟电厂开展可调节能力管理，虚拟电厂运营商应按月通过技术支持系统向虚拟电厂管理平台提供虚拟电厂的聚合用户基本信息及实际可调节能力。管理中心每年对运营商开展能力抽查测试，运营商</w:t>
      </w:r>
      <w:r>
        <w:rPr>
          <w:rFonts w:hint="eastAsia" w:ascii="Times New Roman" w:hAnsi="Times New Roman" w:eastAsia="仿宋_GB2312" w:cs="Times New Roman"/>
          <w:bCs/>
          <w:color w:val="auto"/>
          <w:sz w:val="32"/>
          <w:szCs w:val="32"/>
          <w:highlight w:val="none"/>
          <w:lang w:val="en-US" w:eastAsia="zh-CN"/>
        </w:rPr>
        <w:t>接到通知后应</w:t>
      </w:r>
      <w:r>
        <w:rPr>
          <w:rFonts w:ascii="Times New Roman" w:hAnsi="Times New Roman" w:eastAsia="仿宋_GB2312" w:cs="Times New Roman"/>
          <w:bCs/>
          <w:color w:val="auto"/>
          <w:sz w:val="32"/>
          <w:szCs w:val="32"/>
          <w:highlight w:val="none"/>
        </w:rPr>
        <w:t>配合能力测试抽查。对抽查测试不通过的应限期整改，对拒不整改或整改不到位的，暂停该虚拟电厂</w:t>
      </w:r>
      <w:r>
        <w:rPr>
          <w:rFonts w:hint="eastAsia" w:ascii="Times New Roman" w:hAnsi="Times New Roman" w:eastAsia="仿宋_GB2312" w:cs="Times New Roman"/>
          <w:bCs/>
          <w:color w:val="auto"/>
          <w:sz w:val="32"/>
          <w:szCs w:val="32"/>
          <w:highlight w:val="none"/>
          <w:lang w:val="en-US" w:eastAsia="zh-CN"/>
        </w:rPr>
        <w:t>运营商</w:t>
      </w:r>
      <w:r>
        <w:rPr>
          <w:rFonts w:ascii="Times New Roman" w:hAnsi="Times New Roman" w:eastAsia="仿宋_GB2312" w:cs="Times New Roman"/>
          <w:bCs/>
          <w:color w:val="auto"/>
          <w:sz w:val="32"/>
          <w:szCs w:val="32"/>
          <w:highlight w:val="none"/>
        </w:rPr>
        <w:t>参与响应服务的资格。</w:t>
      </w:r>
    </w:p>
    <w:p w14:paraId="0FD00926">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ascii="Times New Roman" w:hAnsi="Times New Roman" w:eastAsia="仿宋_GB2312" w:cs="Times New Roman"/>
          <w:color w:val="auto"/>
          <w:sz w:val="32"/>
          <w:szCs w:val="32"/>
          <w:highlight w:val="none"/>
        </w:rPr>
        <w:t>[能力评价及能力校核]管理中心对</w:t>
      </w:r>
      <w:r>
        <w:rPr>
          <w:rFonts w:ascii="Times New Roman" w:hAnsi="Times New Roman" w:eastAsia="仿宋_GB2312" w:cs="Times New Roman"/>
          <w:bCs/>
          <w:color w:val="auto"/>
          <w:sz w:val="32"/>
          <w:szCs w:val="32"/>
          <w:highlight w:val="none"/>
        </w:rPr>
        <w:t>响应主体</w:t>
      </w:r>
      <w:r>
        <w:rPr>
          <w:rFonts w:ascii="Times New Roman" w:hAnsi="Times New Roman" w:eastAsia="仿宋_GB2312" w:cs="Times New Roman"/>
          <w:color w:val="auto"/>
          <w:sz w:val="32"/>
          <w:szCs w:val="32"/>
          <w:highlight w:val="none"/>
        </w:rPr>
        <w:t>开展周期性评价，可考虑在组织参与响应服务时同等条件下优先邀约和响应评价较高的</w:t>
      </w:r>
      <w:r>
        <w:rPr>
          <w:rFonts w:ascii="Times New Roman" w:hAnsi="Times New Roman" w:eastAsia="仿宋_GB2312" w:cs="Times New Roman"/>
          <w:bCs/>
          <w:color w:val="auto"/>
          <w:sz w:val="32"/>
          <w:szCs w:val="32"/>
          <w:highlight w:val="none"/>
        </w:rPr>
        <w:t>响应主体</w:t>
      </w:r>
      <w:r>
        <w:rPr>
          <w:rFonts w:ascii="Times New Roman" w:hAnsi="Times New Roman" w:eastAsia="仿宋_GB2312" w:cs="Times New Roman"/>
          <w:color w:val="auto"/>
          <w:sz w:val="32"/>
          <w:szCs w:val="32"/>
          <w:highlight w:val="none"/>
        </w:rPr>
        <w:t>，促进提高运营能力。</w:t>
      </w:r>
    </w:p>
    <w:p w14:paraId="04990407">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rPr>
        <w:t>运营商平台管理</w:t>
      </w:r>
    </w:p>
    <w:p w14:paraId="30F3DB2C">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color w:val="auto"/>
          <w:sz w:val="32"/>
          <w:szCs w:val="32"/>
          <w:highlight w:val="none"/>
        </w:rPr>
        <w:t>[系统运行要求]</w:t>
      </w:r>
      <w:r>
        <w:rPr>
          <w:rFonts w:ascii="Times New Roman" w:hAnsi="Times New Roman" w:eastAsia="仿宋_GB2312" w:cs="Times New Roman"/>
          <w:bCs/>
          <w:color w:val="auto"/>
          <w:sz w:val="32"/>
          <w:szCs w:val="32"/>
          <w:highlight w:val="none"/>
        </w:rPr>
        <w:t>虚拟电厂运营商应确保自身技术支持系统稳定、可靠。管理中心定期或在重大活动前对虚拟电厂运营商技术支持系统进行安全检测。虚拟电厂运营商应及时对安全检测中发现的隐患及漏洞进行整改，并按周期进行系统功能与系统安全测试，由具备网络安全等级测评与检测评估机构服务认证资质的第三方测试机构出具检测报告。</w:t>
      </w:r>
    </w:p>
    <w:p w14:paraId="1FC6864B">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color w:val="auto"/>
          <w:sz w:val="32"/>
          <w:szCs w:val="32"/>
          <w:highlight w:val="none"/>
        </w:rPr>
        <w:t>[系统运行数据要求]</w:t>
      </w:r>
      <w:r>
        <w:rPr>
          <w:rFonts w:ascii="Times New Roman" w:hAnsi="Times New Roman" w:eastAsia="仿宋_GB2312" w:cs="Times New Roman"/>
          <w:bCs/>
          <w:color w:val="auto"/>
          <w:sz w:val="32"/>
          <w:szCs w:val="32"/>
          <w:highlight w:val="none"/>
        </w:rPr>
        <w:t>虚拟电厂运营商应保证各类运行数据真实、完整、准确和可靠；若因数据不实导致响应服务受到干扰或执行困难时，管理中心可将此虚拟电厂运营商提报政府主管部门，按照细则相关要求及有关法规对其采取相应处罚措施。</w:t>
      </w:r>
    </w:p>
    <w:p w14:paraId="77EF2F5C">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color w:val="auto"/>
          <w:sz w:val="32"/>
          <w:szCs w:val="32"/>
          <w:highlight w:val="none"/>
        </w:rPr>
        <w:t>[系统维护与检修]</w:t>
      </w:r>
      <w:r>
        <w:rPr>
          <w:rFonts w:ascii="Times New Roman" w:hAnsi="Times New Roman" w:eastAsia="仿宋_GB2312" w:cs="Times New Roman"/>
          <w:bCs/>
          <w:color w:val="auto"/>
          <w:sz w:val="32"/>
          <w:szCs w:val="32"/>
          <w:highlight w:val="none"/>
        </w:rPr>
        <w:t>虚拟电厂运营商应建立软、硬件系统的维护检修制度，按月形成系统维护档案。如虚拟电厂因自身技术系统检修、升级、故障等原因，影响与虚拟电厂管理平台的数据交互、业务执行时，原则上应提前5个工作日向管理中心提交系统检修申请单（附录1</w:t>
      </w:r>
      <w:r>
        <w:rPr>
          <w:rFonts w:hint="eastAsia" w:ascii="Times New Roman" w:hAnsi="Times New Roman" w:eastAsia="仿宋_GB2312" w:cs="Times New Roman"/>
          <w:bCs/>
          <w:color w:val="auto"/>
          <w:sz w:val="32"/>
          <w:szCs w:val="32"/>
          <w:highlight w:val="none"/>
          <w:lang w:val="en-US" w:eastAsia="zh-CN"/>
        </w:rPr>
        <w:t>0</w:t>
      </w:r>
      <w:r>
        <w:rPr>
          <w:rFonts w:ascii="Times New Roman" w:hAnsi="Times New Roman" w:eastAsia="仿宋_GB2312" w:cs="Times New Roman"/>
          <w:bCs/>
          <w:color w:val="auto"/>
          <w:sz w:val="32"/>
          <w:szCs w:val="32"/>
          <w:highlight w:val="none"/>
        </w:rPr>
        <w:t>）。对于系统出现紧急缺陷的情况，虚拟电厂运营商应在两小时内向管理中心提交系统检修申请单。</w:t>
      </w:r>
    </w:p>
    <w:p w14:paraId="7DFCDCD6">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color w:val="auto"/>
          <w:sz w:val="32"/>
          <w:szCs w:val="32"/>
          <w:highlight w:val="none"/>
        </w:rPr>
        <w:t>[应急预案]</w:t>
      </w:r>
      <w:r>
        <w:rPr>
          <w:rFonts w:ascii="Times New Roman" w:hAnsi="Times New Roman" w:eastAsia="仿宋_GB2312" w:cs="Times New Roman"/>
          <w:bCs/>
          <w:color w:val="auto"/>
          <w:sz w:val="32"/>
          <w:szCs w:val="32"/>
          <w:highlight w:val="none"/>
        </w:rPr>
        <w:t>虚拟电厂运营商应制定日常应急预案、网络安全事件应急预案，应对系统故障、响应执行异常、系统漏洞、计算机病毒、网络攻击、网络侵入等安全风险；在发生响应服务中断、数据传输异常、系统故障或发生危害网络安全等事件时，立即启动应急预案，采取相应的补救措施。</w:t>
      </w:r>
    </w:p>
    <w:p w14:paraId="63EADC97">
      <w:pPr>
        <w:pStyle w:val="33"/>
        <w:numPr>
          <w:ilvl w:val="0"/>
          <w:numId w:val="0"/>
        </w:numPr>
        <w:tabs>
          <w:tab w:val="left" w:pos="6720"/>
        </w:tabs>
        <w:spacing w:line="560" w:lineRule="exact"/>
        <w:ind w:left="479" w:leftChars="228"/>
        <w:rPr>
          <w:rFonts w:hint="default" w:ascii="Times New Roman" w:hAnsi="Times New Roman" w:eastAsia="仿宋_GB2312" w:cs="Times New Roman"/>
          <w:bCs/>
          <w:color w:val="auto"/>
          <w:sz w:val="32"/>
          <w:szCs w:val="32"/>
          <w:highlight w:val="none"/>
        </w:rPr>
      </w:pPr>
    </w:p>
    <w:p w14:paraId="6EF4F1F5">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hint="eastAsia" w:ascii="Times New Roman" w:hAnsi="Times New Roman" w:eastAsia="黑体" w:cs="Times New Roman"/>
          <w:b w:val="0"/>
          <w:bCs/>
          <w:color w:val="auto"/>
          <w:sz w:val="32"/>
          <w:szCs w:val="32"/>
          <w:highlight w:val="none"/>
        </w:rPr>
        <w:t>响应组织</w:t>
      </w:r>
    </w:p>
    <w:p w14:paraId="2A533E0C">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rPr>
        <w:t>服务类型</w:t>
      </w:r>
    </w:p>
    <w:p w14:paraId="008BCA0F">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[服务类型]广州市虚拟电厂可参与响应品种包含</w:t>
      </w:r>
      <w:r>
        <w:rPr>
          <w:rFonts w:hint="eastAsia" w:ascii="Times New Roman" w:hAnsi="Times New Roman" w:eastAsia="仿宋_GB2312" w:cs="Times New Roman"/>
          <w:bCs/>
          <w:color w:val="auto"/>
          <w:sz w:val="32"/>
          <w:szCs w:val="32"/>
          <w:highlight w:val="none"/>
          <w:lang w:val="en-US" w:eastAsia="zh-CN"/>
        </w:rPr>
        <w:t>有功</w:t>
      </w:r>
      <w:r>
        <w:rPr>
          <w:rFonts w:ascii="Times New Roman" w:hAnsi="Times New Roman" w:eastAsia="仿宋_GB2312" w:cs="Times New Roman"/>
          <w:bCs/>
          <w:color w:val="auto"/>
          <w:sz w:val="32"/>
          <w:szCs w:val="32"/>
          <w:highlight w:val="none"/>
        </w:rPr>
        <w:t>响应（日前、</w:t>
      </w:r>
      <w:r>
        <w:rPr>
          <w:rFonts w:hint="eastAsia" w:ascii="Times New Roman" w:hAnsi="Times New Roman" w:eastAsia="仿宋_GB2312" w:cs="Times New Roman"/>
          <w:bCs/>
          <w:color w:val="auto"/>
          <w:sz w:val="32"/>
          <w:szCs w:val="32"/>
          <w:highlight w:val="none"/>
          <w:lang w:val="en-US" w:eastAsia="zh-CN"/>
        </w:rPr>
        <w:t>日内、</w:t>
      </w:r>
      <w:r>
        <w:rPr>
          <w:rFonts w:ascii="Times New Roman" w:hAnsi="Times New Roman" w:eastAsia="仿宋_GB2312" w:cs="Times New Roman"/>
          <w:bCs/>
          <w:color w:val="auto"/>
          <w:sz w:val="32"/>
          <w:szCs w:val="32"/>
          <w:highlight w:val="none"/>
        </w:rPr>
        <w:t>实时）、备用服务、无功调节。</w:t>
      </w:r>
    </w:p>
    <w:p w14:paraId="28F062D2">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[备用服务品种]</w:t>
      </w:r>
      <w:r>
        <w:rPr>
          <w:rFonts w:hint="eastAsia" w:ascii="Times New Roman" w:hAnsi="Times New Roman" w:eastAsia="仿宋_GB2312" w:cs="Times New Roman"/>
          <w:bCs/>
          <w:color w:val="auto"/>
          <w:sz w:val="32"/>
          <w:szCs w:val="32"/>
          <w:highlight w:val="none"/>
          <w:lang w:eastAsia="zh-CN"/>
        </w:rPr>
        <w:t>本办法</w:t>
      </w:r>
      <w:r>
        <w:rPr>
          <w:rFonts w:ascii="Times New Roman" w:hAnsi="Times New Roman" w:eastAsia="仿宋_GB2312" w:cs="Times New Roman"/>
          <w:bCs/>
          <w:color w:val="auto"/>
          <w:sz w:val="32"/>
          <w:szCs w:val="32"/>
          <w:highlight w:val="none"/>
        </w:rPr>
        <w:t>仅开展正备用服务。正备用服务指为保证电力系统供需平衡，通过补贴激励各响应主体通过预留向下调节能力并按调用指令提供的有功备用服务。</w:t>
      </w:r>
    </w:p>
    <w:p w14:paraId="4649995D">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rPr>
        <w:t>启动条件</w:t>
      </w:r>
    </w:p>
    <w:p w14:paraId="1AAB67C9">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Cs/>
          <w:color w:val="auto"/>
          <w:sz w:val="32"/>
          <w:szCs w:val="32"/>
          <w:highlight w:val="none"/>
        </w:rPr>
      </w:pPr>
      <w:r>
        <w:rPr>
          <w:rFonts w:hint="eastAsia" w:ascii="Times New Roman" w:hAnsi="Times New Roman" w:eastAsia="仿宋_GB2312" w:cs="Times New Roman"/>
          <w:b/>
          <w:color w:val="auto"/>
          <w:sz w:val="32"/>
          <w:szCs w:val="32"/>
          <w:highlight w:val="none"/>
          <w:lang w:eastAsia="zh-CN"/>
        </w:rPr>
        <w:t>有功响应</w:t>
      </w:r>
      <w:r>
        <w:rPr>
          <w:rFonts w:hint="eastAsia"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Cs/>
          <w:color w:val="auto"/>
          <w:sz w:val="32"/>
          <w:szCs w:val="32"/>
          <w:highlight w:val="none"/>
        </w:rPr>
        <w:t>当</w:t>
      </w:r>
      <w:r>
        <w:rPr>
          <w:rFonts w:ascii="Times New Roman" w:hAnsi="Times New Roman" w:eastAsia="仿宋_GB2312" w:cs="Times New Roman"/>
          <w:bCs/>
          <w:color w:val="auto"/>
          <w:sz w:val="32"/>
          <w:szCs w:val="32"/>
          <w:highlight w:val="none"/>
        </w:rPr>
        <w:t>广州</w:t>
      </w:r>
      <w:r>
        <w:rPr>
          <w:rFonts w:hint="default" w:ascii="Times New Roman" w:hAnsi="Times New Roman" w:eastAsia="仿宋_GB2312" w:cs="Times New Roman"/>
          <w:bCs/>
          <w:color w:val="auto"/>
          <w:sz w:val="32"/>
          <w:szCs w:val="32"/>
          <w:highlight w:val="none"/>
        </w:rPr>
        <w:t>电网运行</w:t>
      </w:r>
      <w:r>
        <w:rPr>
          <w:rFonts w:hint="eastAsia" w:ascii="Times New Roman" w:hAnsi="Times New Roman" w:eastAsia="仿宋_GB2312" w:cs="Times New Roman"/>
          <w:bCs/>
          <w:color w:val="auto"/>
          <w:sz w:val="32"/>
          <w:szCs w:val="32"/>
          <w:highlight w:val="none"/>
          <w:lang w:val="en-US" w:eastAsia="zh-CN"/>
        </w:rPr>
        <w:t>或预测</w:t>
      </w:r>
      <w:r>
        <w:rPr>
          <w:rFonts w:hint="default" w:ascii="Times New Roman" w:hAnsi="Times New Roman" w:eastAsia="仿宋_GB2312" w:cs="Times New Roman"/>
          <w:bCs/>
          <w:color w:val="auto"/>
          <w:sz w:val="32"/>
          <w:szCs w:val="32"/>
          <w:highlight w:val="none"/>
        </w:rPr>
        <w:t>出现以下</w:t>
      </w:r>
      <w:r>
        <w:rPr>
          <w:rFonts w:ascii="Times New Roman" w:hAnsi="Times New Roman" w:eastAsia="仿宋_GB2312" w:cs="Times New Roman"/>
          <w:bCs/>
          <w:color w:val="auto"/>
          <w:sz w:val="32"/>
          <w:szCs w:val="32"/>
          <w:highlight w:val="none"/>
        </w:rPr>
        <w:t>任一</w:t>
      </w:r>
      <w:r>
        <w:rPr>
          <w:rFonts w:hint="default" w:ascii="Times New Roman" w:hAnsi="Times New Roman" w:eastAsia="仿宋_GB2312" w:cs="Times New Roman"/>
          <w:bCs/>
          <w:color w:val="auto"/>
          <w:sz w:val="32"/>
          <w:szCs w:val="32"/>
          <w:highlight w:val="none"/>
        </w:rPr>
        <w:t>情况</w:t>
      </w:r>
      <w:r>
        <w:rPr>
          <w:rFonts w:ascii="Times New Roman" w:hAnsi="Times New Roman" w:eastAsia="仿宋_GB2312" w:cs="Times New Roman"/>
          <w:bCs/>
          <w:color w:val="auto"/>
          <w:sz w:val="32"/>
          <w:szCs w:val="32"/>
          <w:highlight w:val="none"/>
        </w:rPr>
        <w:t>时，</w:t>
      </w:r>
      <w:r>
        <w:rPr>
          <w:rFonts w:hint="default" w:ascii="Times New Roman" w:hAnsi="Times New Roman" w:eastAsia="仿宋_GB2312" w:cs="Times New Roman"/>
          <w:bCs/>
          <w:color w:val="auto"/>
          <w:sz w:val="32"/>
          <w:szCs w:val="32"/>
          <w:highlight w:val="none"/>
        </w:rPr>
        <w:t>启动</w:t>
      </w:r>
      <w:r>
        <w:rPr>
          <w:rFonts w:hint="eastAsia" w:ascii="Times New Roman" w:hAnsi="Times New Roman" w:eastAsia="仿宋_GB2312" w:cs="Times New Roman"/>
          <w:bCs/>
          <w:color w:val="auto"/>
          <w:sz w:val="32"/>
          <w:szCs w:val="32"/>
          <w:highlight w:val="none"/>
          <w:lang w:eastAsia="zh-CN"/>
        </w:rPr>
        <w:t>有功响应</w:t>
      </w:r>
      <w:r>
        <w:rPr>
          <w:rFonts w:hint="default" w:ascii="Times New Roman" w:hAnsi="Times New Roman" w:eastAsia="仿宋_GB2312" w:cs="Times New Roman"/>
          <w:bCs/>
          <w:color w:val="auto"/>
          <w:sz w:val="32"/>
          <w:szCs w:val="32"/>
          <w:highlight w:val="none"/>
        </w:rPr>
        <w:t>。</w:t>
      </w:r>
    </w:p>
    <w:p w14:paraId="2439B95A">
      <w:pPr>
        <w:pStyle w:val="33"/>
        <w:numPr>
          <w:ilvl w:val="255"/>
          <w:numId w:val="0"/>
        </w:numPr>
        <w:tabs>
          <w:tab w:val="left" w:pos="6720"/>
        </w:tabs>
        <w:adjustRightInd w:val="0"/>
        <w:snapToGrid w:val="0"/>
        <w:spacing w:line="560" w:lineRule="exact"/>
        <w:ind w:firstLine="640" w:firstLineChars="200"/>
        <w:rPr>
          <w:rFonts w:hint="eastAsia" w:ascii="Times New Roman" w:hAnsi="Times New Roman" w:eastAsia="仿宋_GB2312" w:cs="Times New Roman"/>
          <w:bCs/>
          <w:color w:val="auto"/>
          <w:sz w:val="32"/>
          <w:szCs w:val="32"/>
          <w:highlight w:val="none"/>
          <w:lang w:eastAsia="zh-CN"/>
        </w:rPr>
      </w:pPr>
      <w:r>
        <w:rPr>
          <w:rFonts w:ascii="Times New Roman" w:hAnsi="Times New Roman" w:eastAsia="仿宋_GB2312" w:cs="Times New Roman"/>
          <w:bCs/>
          <w:color w:val="auto"/>
          <w:sz w:val="32"/>
          <w:szCs w:val="32"/>
          <w:highlight w:val="none"/>
        </w:rPr>
        <w:t>（一）</w:t>
      </w:r>
      <w:r>
        <w:rPr>
          <w:rFonts w:hint="eastAsia" w:ascii="Times New Roman" w:hAnsi="Times New Roman" w:eastAsia="仿宋_GB2312" w:cs="Times New Roman"/>
          <w:bCs/>
          <w:color w:val="auto"/>
          <w:sz w:val="32"/>
          <w:szCs w:val="32"/>
          <w:highlight w:val="none"/>
          <w:lang w:val="en-US" w:eastAsia="zh-CN"/>
        </w:rPr>
        <w:t>局部</w:t>
      </w:r>
      <w:r>
        <w:rPr>
          <w:rFonts w:ascii="Times New Roman" w:hAnsi="Times New Roman" w:eastAsia="仿宋_GB2312" w:cs="Times New Roman"/>
          <w:bCs/>
          <w:color w:val="auto"/>
          <w:sz w:val="32"/>
          <w:szCs w:val="32"/>
          <w:highlight w:val="none"/>
        </w:rPr>
        <w:t>区域存在电力缺口，不足以应对广州市电力系统运行问题</w:t>
      </w:r>
      <w:r>
        <w:rPr>
          <w:rFonts w:hint="eastAsia" w:ascii="Times New Roman" w:hAnsi="Times New Roman" w:eastAsia="仿宋_GB2312" w:cs="Times New Roman"/>
          <w:bCs/>
          <w:color w:val="auto"/>
          <w:sz w:val="32"/>
          <w:szCs w:val="32"/>
          <w:highlight w:val="none"/>
          <w:lang w:eastAsia="zh-CN"/>
        </w:rPr>
        <w:t>；</w:t>
      </w:r>
    </w:p>
    <w:p w14:paraId="3893429F">
      <w:pPr>
        <w:pStyle w:val="33"/>
        <w:numPr>
          <w:ilvl w:val="255"/>
          <w:numId w:val="0"/>
        </w:numPr>
        <w:tabs>
          <w:tab w:val="left" w:pos="6720"/>
        </w:tabs>
        <w:adjustRightInd w:val="0"/>
        <w:snapToGrid w:val="0"/>
        <w:spacing w:line="560" w:lineRule="exact"/>
        <w:ind w:firstLine="640" w:firstLineChars="20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（二）</w:t>
      </w:r>
      <w:r>
        <w:rPr>
          <w:rFonts w:hint="eastAsia" w:ascii="Times New Roman" w:hAnsi="Times New Roman" w:eastAsia="仿宋_GB2312" w:cs="Times New Roman"/>
          <w:bCs/>
          <w:color w:val="auto"/>
          <w:sz w:val="32"/>
          <w:szCs w:val="32"/>
          <w:highlight w:val="none"/>
          <w:lang w:eastAsia="zh-CN"/>
        </w:rPr>
        <w:t>预测</w:t>
      </w:r>
      <w:r>
        <w:rPr>
          <w:rFonts w:ascii="Times New Roman" w:hAnsi="Times New Roman" w:eastAsia="仿宋_GB2312" w:cs="Times New Roman"/>
          <w:bCs/>
          <w:color w:val="auto"/>
          <w:sz w:val="32"/>
          <w:szCs w:val="32"/>
          <w:highlight w:val="none"/>
        </w:rPr>
        <w:t>电网</w:t>
      </w:r>
      <w:r>
        <w:rPr>
          <w:rFonts w:hint="default" w:ascii="Times New Roman" w:hAnsi="Times New Roman" w:eastAsia="仿宋_GB2312" w:cs="Times New Roman"/>
          <w:bCs/>
          <w:color w:val="auto"/>
          <w:sz w:val="32"/>
          <w:szCs w:val="32"/>
          <w:highlight w:val="none"/>
        </w:rPr>
        <w:t>局部区域存在重过载</w:t>
      </w:r>
      <w:r>
        <w:rPr>
          <w:rFonts w:ascii="Times New Roman" w:hAnsi="Times New Roman" w:eastAsia="仿宋_GB2312" w:cs="Times New Roman"/>
          <w:bCs/>
          <w:color w:val="auto"/>
          <w:sz w:val="32"/>
          <w:szCs w:val="32"/>
          <w:highlight w:val="none"/>
        </w:rPr>
        <w:t>、设备重过载等；</w:t>
      </w:r>
    </w:p>
    <w:p w14:paraId="6343EE40">
      <w:pPr>
        <w:pStyle w:val="33"/>
        <w:numPr>
          <w:ilvl w:val="255"/>
          <w:numId w:val="0"/>
        </w:numPr>
        <w:tabs>
          <w:tab w:val="left" w:pos="6720"/>
        </w:tabs>
        <w:adjustRightInd w:val="0"/>
        <w:snapToGrid w:val="0"/>
        <w:spacing w:line="560" w:lineRule="exact"/>
        <w:ind w:firstLine="640" w:firstLineChars="20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（三）存在评估的影响电网运行安全、用电安全等其他情况。</w:t>
      </w:r>
    </w:p>
    <w:p w14:paraId="473DF45E">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
          <w:color w:val="auto"/>
          <w:sz w:val="32"/>
          <w:szCs w:val="32"/>
          <w:highlight w:val="none"/>
        </w:rPr>
        <w:t>备用服务</w:t>
      </w:r>
      <w:r>
        <w:rPr>
          <w:rFonts w:hint="eastAsia"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Cs/>
          <w:color w:val="auto"/>
          <w:sz w:val="32"/>
          <w:szCs w:val="32"/>
          <w:highlight w:val="none"/>
        </w:rPr>
        <w:t>当</w:t>
      </w:r>
      <w:r>
        <w:rPr>
          <w:rFonts w:ascii="Times New Roman" w:hAnsi="Times New Roman" w:eastAsia="仿宋_GB2312" w:cs="Times New Roman"/>
          <w:bCs/>
          <w:color w:val="auto"/>
          <w:sz w:val="32"/>
          <w:szCs w:val="32"/>
          <w:highlight w:val="none"/>
        </w:rPr>
        <w:t>广州</w:t>
      </w:r>
      <w:r>
        <w:rPr>
          <w:rFonts w:hint="default" w:ascii="Times New Roman" w:hAnsi="Times New Roman" w:eastAsia="仿宋_GB2312" w:cs="Times New Roman"/>
          <w:bCs/>
          <w:color w:val="auto"/>
          <w:sz w:val="32"/>
          <w:szCs w:val="32"/>
          <w:highlight w:val="none"/>
        </w:rPr>
        <w:t>电网</w:t>
      </w:r>
      <w:r>
        <w:rPr>
          <w:rFonts w:hint="eastAsia" w:ascii="Times New Roman" w:hAnsi="Times New Roman" w:eastAsia="仿宋_GB2312" w:cs="Times New Roman"/>
          <w:bCs/>
          <w:color w:val="auto"/>
          <w:sz w:val="32"/>
          <w:szCs w:val="32"/>
          <w:highlight w:val="none"/>
          <w:lang w:val="en-US" w:eastAsia="zh-CN"/>
        </w:rPr>
        <w:t>预测</w:t>
      </w:r>
      <w:r>
        <w:rPr>
          <w:rFonts w:hint="default" w:ascii="Times New Roman" w:hAnsi="Times New Roman" w:eastAsia="仿宋_GB2312" w:cs="Times New Roman"/>
          <w:bCs/>
          <w:color w:val="auto"/>
          <w:sz w:val="32"/>
          <w:szCs w:val="32"/>
          <w:highlight w:val="none"/>
        </w:rPr>
        <w:t>出现以下</w:t>
      </w:r>
      <w:r>
        <w:rPr>
          <w:rFonts w:ascii="Times New Roman" w:hAnsi="Times New Roman" w:eastAsia="仿宋_GB2312" w:cs="Times New Roman"/>
          <w:bCs/>
          <w:color w:val="auto"/>
          <w:sz w:val="32"/>
          <w:szCs w:val="32"/>
          <w:highlight w:val="none"/>
        </w:rPr>
        <w:t>任一</w:t>
      </w:r>
      <w:r>
        <w:rPr>
          <w:rFonts w:hint="default" w:ascii="Times New Roman" w:hAnsi="Times New Roman" w:eastAsia="仿宋_GB2312" w:cs="Times New Roman"/>
          <w:bCs/>
          <w:color w:val="auto"/>
          <w:sz w:val="32"/>
          <w:szCs w:val="32"/>
          <w:highlight w:val="none"/>
        </w:rPr>
        <w:t>情况</w:t>
      </w:r>
      <w:r>
        <w:rPr>
          <w:rFonts w:ascii="Times New Roman" w:hAnsi="Times New Roman" w:eastAsia="仿宋_GB2312" w:cs="Times New Roman"/>
          <w:bCs/>
          <w:color w:val="auto"/>
          <w:sz w:val="32"/>
          <w:szCs w:val="32"/>
          <w:highlight w:val="none"/>
        </w:rPr>
        <w:t>时，</w:t>
      </w:r>
      <w:r>
        <w:rPr>
          <w:rFonts w:hint="default" w:ascii="Times New Roman" w:hAnsi="Times New Roman" w:eastAsia="仿宋_GB2312" w:cs="Times New Roman"/>
          <w:bCs/>
          <w:color w:val="auto"/>
          <w:sz w:val="32"/>
          <w:szCs w:val="32"/>
          <w:highlight w:val="none"/>
        </w:rPr>
        <w:t>启动</w:t>
      </w:r>
      <w:r>
        <w:rPr>
          <w:rFonts w:ascii="Times New Roman" w:hAnsi="Times New Roman" w:eastAsia="仿宋_GB2312" w:cs="Times New Roman"/>
          <w:bCs/>
          <w:color w:val="auto"/>
          <w:sz w:val="32"/>
          <w:szCs w:val="32"/>
          <w:highlight w:val="none"/>
        </w:rPr>
        <w:t>备用服务</w:t>
      </w:r>
      <w:r>
        <w:rPr>
          <w:rFonts w:hint="default" w:ascii="Times New Roman" w:hAnsi="Times New Roman" w:eastAsia="仿宋_GB2312" w:cs="Times New Roman"/>
          <w:bCs/>
          <w:color w:val="auto"/>
          <w:sz w:val="32"/>
          <w:szCs w:val="32"/>
          <w:highlight w:val="none"/>
        </w:rPr>
        <w:t>。</w:t>
      </w:r>
    </w:p>
    <w:p w14:paraId="1F26A83E">
      <w:pPr>
        <w:pStyle w:val="33"/>
        <w:numPr>
          <w:ilvl w:val="0"/>
          <w:numId w:val="6"/>
        </w:numPr>
        <w:tabs>
          <w:tab w:val="left" w:pos="6720"/>
        </w:tabs>
        <w:adjustRightInd w:val="0"/>
        <w:snapToGrid w:val="0"/>
        <w:spacing w:line="560" w:lineRule="exact"/>
        <w:ind w:firstLine="640" w:firstLineChars="200"/>
        <w:rPr>
          <w:rFonts w:ascii="Times New Roman" w:hAnsi="Times New Roman" w:eastAsia="仿宋_GB2312" w:cs="Times New Roman"/>
          <w:bCs/>
          <w:color w:val="auto"/>
          <w:sz w:val="32"/>
          <w:szCs w:val="32"/>
          <w:highlight w:val="none"/>
        </w:rPr>
      </w:pPr>
      <w:r>
        <w:rPr>
          <w:rFonts w:hint="eastAsia" w:ascii="Times New Roman" w:hAnsi="Times New Roman" w:eastAsia="仿宋_GB2312" w:cs="Times New Roman"/>
          <w:bCs/>
          <w:color w:val="auto"/>
          <w:sz w:val="32"/>
          <w:szCs w:val="32"/>
          <w:highlight w:val="none"/>
          <w:lang w:eastAsia="zh-CN"/>
        </w:rPr>
        <w:t>预测</w:t>
      </w:r>
      <w:r>
        <w:rPr>
          <w:rFonts w:ascii="Times New Roman" w:hAnsi="Times New Roman" w:eastAsia="仿宋_GB2312" w:cs="Times New Roman"/>
          <w:bCs/>
          <w:color w:val="auto"/>
          <w:sz w:val="32"/>
          <w:szCs w:val="32"/>
          <w:highlight w:val="none"/>
        </w:rPr>
        <w:t>电网存在局部电力供应紧张、断面或设备重过载风险；</w:t>
      </w:r>
    </w:p>
    <w:p w14:paraId="721796D6">
      <w:pPr>
        <w:pStyle w:val="33"/>
        <w:numPr>
          <w:ilvl w:val="0"/>
          <w:numId w:val="6"/>
        </w:numPr>
        <w:tabs>
          <w:tab w:val="left" w:pos="6720"/>
        </w:tabs>
        <w:adjustRightInd w:val="0"/>
        <w:snapToGrid w:val="0"/>
        <w:spacing w:line="560" w:lineRule="exact"/>
        <w:ind w:firstLine="640" w:firstLineChars="200"/>
        <w:rPr>
          <w:rFonts w:hint="default" w:ascii="Times New Roman" w:hAnsi="Times New Roman" w:eastAsia="仿宋_GB2312" w:cs="Times New Roman"/>
          <w:bCs/>
          <w:color w:val="auto"/>
          <w:sz w:val="32"/>
          <w:szCs w:val="32"/>
          <w:highlight w:val="none"/>
        </w:rPr>
      </w:pPr>
      <w:r>
        <w:rPr>
          <w:rFonts w:hint="eastAsia" w:ascii="Times New Roman" w:hAnsi="Times New Roman" w:eastAsia="仿宋_GB2312" w:cs="Times New Roman"/>
          <w:bCs/>
          <w:color w:val="auto"/>
          <w:sz w:val="32"/>
          <w:szCs w:val="32"/>
          <w:highlight w:val="none"/>
          <w:lang w:val="en-US" w:eastAsia="zh-CN"/>
        </w:rPr>
        <w:t>预测</w:t>
      </w:r>
      <w:r>
        <w:rPr>
          <w:rFonts w:hint="default" w:ascii="Times New Roman" w:hAnsi="Times New Roman" w:eastAsia="仿宋_GB2312" w:cs="Times New Roman"/>
          <w:bCs/>
          <w:color w:val="auto"/>
          <w:sz w:val="32"/>
          <w:szCs w:val="32"/>
          <w:highlight w:val="none"/>
        </w:rPr>
        <w:t>电网</w:t>
      </w:r>
      <w:r>
        <w:rPr>
          <w:rFonts w:hint="eastAsia" w:ascii="Times New Roman" w:hAnsi="Times New Roman" w:eastAsia="仿宋_GB2312" w:cs="Times New Roman"/>
          <w:bCs/>
          <w:color w:val="auto"/>
          <w:sz w:val="32"/>
          <w:szCs w:val="32"/>
          <w:highlight w:val="none"/>
          <w:lang w:val="en-US" w:eastAsia="zh-CN"/>
        </w:rPr>
        <w:t>设备</w:t>
      </w:r>
      <w:r>
        <w:rPr>
          <w:rFonts w:hint="default" w:ascii="Times New Roman" w:hAnsi="Times New Roman" w:eastAsia="仿宋_GB2312" w:cs="Times New Roman"/>
          <w:bCs/>
          <w:color w:val="auto"/>
          <w:sz w:val="32"/>
          <w:szCs w:val="32"/>
          <w:highlight w:val="none"/>
        </w:rPr>
        <w:t>异常</w:t>
      </w:r>
      <w:r>
        <w:rPr>
          <w:rFonts w:hint="eastAsia" w:ascii="Times New Roman" w:hAnsi="Times New Roman" w:eastAsia="仿宋_GB2312" w:cs="Times New Roman"/>
          <w:bCs/>
          <w:color w:val="auto"/>
          <w:sz w:val="32"/>
          <w:szCs w:val="32"/>
          <w:highlight w:val="none"/>
          <w:lang w:val="en-US" w:eastAsia="zh-CN"/>
        </w:rPr>
        <w:t>或</w:t>
      </w:r>
      <w:r>
        <w:rPr>
          <w:rFonts w:hint="default" w:ascii="Times New Roman" w:hAnsi="Times New Roman" w:eastAsia="仿宋_GB2312" w:cs="Times New Roman"/>
          <w:bCs/>
          <w:color w:val="auto"/>
          <w:sz w:val="32"/>
          <w:szCs w:val="32"/>
          <w:highlight w:val="none"/>
        </w:rPr>
        <w:t>故障导致局部电力缺口</w:t>
      </w:r>
      <w:r>
        <w:rPr>
          <w:rFonts w:hint="eastAsia" w:ascii="Times New Roman" w:hAnsi="Times New Roman" w:eastAsia="仿宋_GB2312" w:cs="Times New Roman"/>
          <w:bCs/>
          <w:color w:val="auto"/>
          <w:sz w:val="32"/>
          <w:szCs w:val="32"/>
          <w:highlight w:val="none"/>
          <w:lang w:eastAsia="zh-CN"/>
        </w:rPr>
        <w:t>；</w:t>
      </w:r>
    </w:p>
    <w:p w14:paraId="2EB85028">
      <w:pPr>
        <w:pStyle w:val="33"/>
        <w:numPr>
          <w:ilvl w:val="255"/>
          <w:numId w:val="0"/>
        </w:numPr>
        <w:tabs>
          <w:tab w:val="left" w:pos="6720"/>
        </w:tabs>
        <w:adjustRightInd w:val="0"/>
        <w:snapToGrid w:val="0"/>
        <w:spacing w:line="560" w:lineRule="exact"/>
        <w:ind w:firstLine="640" w:firstLineChars="20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三</w:t>
      </w:r>
      <w:r>
        <w:rPr>
          <w:rFonts w:ascii="Times New Roman" w:hAnsi="Times New Roman" w:eastAsia="仿宋_GB2312" w:cs="Times New Roman"/>
          <w:bCs/>
          <w:color w:val="auto"/>
          <w:sz w:val="32"/>
          <w:szCs w:val="32"/>
          <w:highlight w:val="none"/>
        </w:rPr>
        <w:t>）电网评估的其他情况。</w:t>
      </w:r>
    </w:p>
    <w:p w14:paraId="66454A5A">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
          <w:color w:val="auto"/>
          <w:sz w:val="32"/>
          <w:szCs w:val="32"/>
          <w:highlight w:val="none"/>
        </w:rPr>
        <w:t>无功调节</w:t>
      </w:r>
      <w:r>
        <w:rPr>
          <w:rFonts w:hint="eastAsia"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Cs/>
          <w:color w:val="auto"/>
          <w:sz w:val="32"/>
          <w:szCs w:val="32"/>
          <w:highlight w:val="none"/>
        </w:rPr>
        <w:t>当</w:t>
      </w:r>
      <w:r>
        <w:rPr>
          <w:rFonts w:ascii="Times New Roman" w:hAnsi="Times New Roman" w:eastAsia="仿宋_GB2312" w:cs="Times New Roman"/>
          <w:bCs/>
          <w:color w:val="auto"/>
          <w:sz w:val="32"/>
          <w:szCs w:val="32"/>
          <w:highlight w:val="none"/>
        </w:rPr>
        <w:t>广州</w:t>
      </w:r>
      <w:r>
        <w:rPr>
          <w:rFonts w:hint="default" w:ascii="Times New Roman" w:hAnsi="Times New Roman" w:eastAsia="仿宋_GB2312" w:cs="Times New Roman"/>
          <w:bCs/>
          <w:color w:val="auto"/>
          <w:sz w:val="32"/>
          <w:szCs w:val="32"/>
          <w:highlight w:val="none"/>
        </w:rPr>
        <w:t>电网运行</w:t>
      </w:r>
      <w:r>
        <w:rPr>
          <w:rFonts w:hint="eastAsia" w:ascii="Times New Roman" w:hAnsi="Times New Roman" w:eastAsia="仿宋_GB2312" w:cs="Times New Roman"/>
          <w:bCs/>
          <w:color w:val="auto"/>
          <w:sz w:val="32"/>
          <w:szCs w:val="32"/>
          <w:highlight w:val="none"/>
          <w:lang w:val="en-US" w:eastAsia="zh-CN"/>
        </w:rPr>
        <w:t>或预测</w:t>
      </w:r>
      <w:r>
        <w:rPr>
          <w:rFonts w:hint="default" w:ascii="Times New Roman" w:hAnsi="Times New Roman" w:eastAsia="仿宋_GB2312" w:cs="Times New Roman"/>
          <w:bCs/>
          <w:color w:val="auto"/>
          <w:sz w:val="32"/>
          <w:szCs w:val="32"/>
          <w:highlight w:val="none"/>
        </w:rPr>
        <w:t>出现以下</w:t>
      </w:r>
      <w:r>
        <w:rPr>
          <w:rFonts w:ascii="Times New Roman" w:hAnsi="Times New Roman" w:eastAsia="仿宋_GB2312" w:cs="Times New Roman"/>
          <w:bCs/>
          <w:color w:val="auto"/>
          <w:sz w:val="32"/>
          <w:szCs w:val="32"/>
          <w:highlight w:val="none"/>
        </w:rPr>
        <w:t>任一</w:t>
      </w:r>
      <w:r>
        <w:rPr>
          <w:rFonts w:hint="default" w:ascii="Times New Roman" w:hAnsi="Times New Roman" w:eastAsia="仿宋_GB2312" w:cs="Times New Roman"/>
          <w:bCs/>
          <w:color w:val="auto"/>
          <w:sz w:val="32"/>
          <w:szCs w:val="32"/>
          <w:highlight w:val="none"/>
        </w:rPr>
        <w:t>情况</w:t>
      </w:r>
      <w:r>
        <w:rPr>
          <w:rFonts w:ascii="Times New Roman" w:hAnsi="Times New Roman" w:eastAsia="仿宋_GB2312" w:cs="Times New Roman"/>
          <w:bCs/>
          <w:color w:val="auto"/>
          <w:sz w:val="32"/>
          <w:szCs w:val="32"/>
          <w:highlight w:val="none"/>
        </w:rPr>
        <w:t>时，</w:t>
      </w:r>
      <w:r>
        <w:rPr>
          <w:rFonts w:hint="default" w:ascii="Times New Roman" w:hAnsi="Times New Roman" w:eastAsia="仿宋_GB2312" w:cs="Times New Roman"/>
          <w:bCs/>
          <w:color w:val="auto"/>
          <w:sz w:val="32"/>
          <w:szCs w:val="32"/>
          <w:highlight w:val="none"/>
        </w:rPr>
        <w:t>启动</w:t>
      </w:r>
      <w:r>
        <w:rPr>
          <w:rFonts w:ascii="Times New Roman" w:hAnsi="Times New Roman" w:eastAsia="仿宋_GB2312" w:cs="Times New Roman"/>
          <w:bCs/>
          <w:color w:val="auto"/>
          <w:sz w:val="32"/>
          <w:szCs w:val="32"/>
          <w:highlight w:val="none"/>
        </w:rPr>
        <w:t>无功调节</w:t>
      </w:r>
      <w:r>
        <w:rPr>
          <w:rFonts w:hint="default" w:ascii="Times New Roman" w:hAnsi="Times New Roman" w:eastAsia="仿宋_GB2312" w:cs="Times New Roman"/>
          <w:bCs/>
          <w:color w:val="auto"/>
          <w:sz w:val="32"/>
          <w:szCs w:val="32"/>
          <w:highlight w:val="none"/>
        </w:rPr>
        <w:t>。</w:t>
      </w:r>
    </w:p>
    <w:p w14:paraId="56008E4C">
      <w:pPr>
        <w:pStyle w:val="33"/>
        <w:numPr>
          <w:ilvl w:val="255"/>
          <w:numId w:val="0"/>
        </w:numPr>
        <w:tabs>
          <w:tab w:val="left" w:pos="6720"/>
        </w:tabs>
        <w:adjustRightInd w:val="0"/>
        <w:snapToGrid w:val="0"/>
        <w:spacing w:line="560" w:lineRule="exact"/>
        <w:ind w:firstLine="640" w:firstLineChars="20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（一）电网存在局部电压偏高，影响电网运行安全；</w:t>
      </w:r>
    </w:p>
    <w:p w14:paraId="27C1AD21">
      <w:pPr>
        <w:pStyle w:val="33"/>
        <w:numPr>
          <w:ilvl w:val="255"/>
          <w:numId w:val="0"/>
        </w:numPr>
        <w:tabs>
          <w:tab w:val="left" w:pos="6720"/>
        </w:tabs>
        <w:adjustRightInd w:val="0"/>
        <w:snapToGrid w:val="0"/>
        <w:spacing w:line="560" w:lineRule="exact"/>
        <w:ind w:firstLine="640" w:firstLineChars="20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（二）电网评估的其他情况。</w:t>
      </w:r>
    </w:p>
    <w:p w14:paraId="2F95FD0F">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rPr>
        <w:t>需求发布</w:t>
      </w:r>
    </w:p>
    <w:p w14:paraId="3F8965B8">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lang w:eastAsia="zh-CN"/>
        </w:rPr>
        <w:t>有功响应</w:t>
      </w:r>
    </w:p>
    <w:p w14:paraId="46349859">
      <w:pPr>
        <w:pStyle w:val="33"/>
        <w:numPr>
          <w:ilvl w:val="0"/>
          <w:numId w:val="7"/>
        </w:numPr>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日前响应需求发布</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在需求发布日（D-1日）</w:t>
      </w:r>
      <w:r>
        <w:rPr>
          <w:rFonts w:hint="default" w:ascii="Times New Roman" w:hAnsi="Times New Roman" w:eastAsia="仿宋_GB2312" w:cs="Times New Roman"/>
          <w:bCs/>
          <w:color w:val="auto"/>
          <w:sz w:val="32"/>
          <w:szCs w:val="32"/>
          <w:highlight w:val="none"/>
        </w:rPr>
        <w:t>，管理中心根据</w:t>
      </w:r>
      <w:r>
        <w:rPr>
          <w:rFonts w:hint="eastAsia" w:ascii="Times New Roman" w:hAnsi="Times New Roman" w:eastAsia="仿宋_GB2312" w:cs="Times New Roman"/>
          <w:bCs/>
          <w:color w:val="auto"/>
          <w:sz w:val="32"/>
          <w:szCs w:val="32"/>
          <w:highlight w:val="none"/>
          <w:lang w:val="en-US" w:eastAsia="zh-CN"/>
        </w:rPr>
        <w:t>评估</w:t>
      </w:r>
      <w:r>
        <w:rPr>
          <w:rFonts w:hint="default" w:ascii="Times New Roman" w:hAnsi="Times New Roman" w:eastAsia="仿宋_GB2312" w:cs="Times New Roman"/>
          <w:bCs/>
          <w:color w:val="auto"/>
          <w:sz w:val="32"/>
          <w:szCs w:val="32"/>
          <w:highlight w:val="none"/>
        </w:rPr>
        <w:t>的日前响应需求，通过</w:t>
      </w:r>
      <w:r>
        <w:rPr>
          <w:rFonts w:ascii="Times New Roman" w:hAnsi="Times New Roman" w:eastAsia="仿宋_GB2312" w:cs="Times New Roman"/>
          <w:bCs/>
          <w:color w:val="auto"/>
          <w:sz w:val="32"/>
          <w:szCs w:val="32"/>
          <w:highlight w:val="none"/>
        </w:rPr>
        <w:t>虚拟电厂管理平台</w:t>
      </w:r>
      <w:r>
        <w:rPr>
          <w:rFonts w:hint="default" w:ascii="Times New Roman" w:hAnsi="Times New Roman" w:eastAsia="仿宋_GB2312" w:cs="Times New Roman"/>
          <w:bCs/>
          <w:color w:val="auto"/>
          <w:sz w:val="32"/>
          <w:szCs w:val="32"/>
          <w:highlight w:val="none"/>
        </w:rPr>
        <w:t>发布运行日</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D日</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系统调节响应需求时段、</w:t>
      </w:r>
      <w:r>
        <w:rPr>
          <w:rFonts w:hint="eastAsia" w:ascii="Times New Roman" w:hAnsi="Times New Roman" w:eastAsia="仿宋_GB2312" w:cs="Times New Roman"/>
          <w:bCs/>
          <w:color w:val="auto"/>
          <w:sz w:val="32"/>
          <w:szCs w:val="32"/>
          <w:highlight w:val="none"/>
          <w:lang w:val="en-US" w:eastAsia="zh-CN"/>
        </w:rPr>
        <w:t>需求</w:t>
      </w:r>
      <w:r>
        <w:rPr>
          <w:rFonts w:hint="default" w:ascii="Times New Roman" w:hAnsi="Times New Roman" w:eastAsia="仿宋_GB2312" w:cs="Times New Roman"/>
          <w:bCs/>
          <w:color w:val="auto"/>
          <w:sz w:val="32"/>
          <w:szCs w:val="32"/>
          <w:highlight w:val="none"/>
        </w:rPr>
        <w:t>容量、响应类型</w:t>
      </w:r>
      <w:r>
        <w:rPr>
          <w:rFonts w:hint="eastAsia" w:ascii="Times New Roman" w:hAnsi="Times New Roman" w:eastAsia="仿宋_GB2312" w:cs="Times New Roman"/>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val="en-US" w:eastAsia="zh-CN"/>
        </w:rPr>
        <w:t>需求范围、</w:t>
      </w:r>
      <w:r>
        <w:rPr>
          <w:rFonts w:hint="default" w:ascii="Times New Roman" w:hAnsi="Times New Roman" w:eastAsia="仿宋_GB2312" w:cs="Times New Roman"/>
          <w:bCs/>
          <w:color w:val="auto"/>
          <w:sz w:val="32"/>
          <w:szCs w:val="32"/>
          <w:highlight w:val="none"/>
        </w:rPr>
        <w:t>参考基线等</w:t>
      </w:r>
      <w:r>
        <w:rPr>
          <w:rFonts w:ascii="Times New Roman" w:hAnsi="Times New Roman" w:eastAsia="仿宋_GB2312" w:cs="Times New Roman"/>
          <w:bCs/>
          <w:color w:val="auto"/>
          <w:sz w:val="32"/>
          <w:szCs w:val="32"/>
          <w:highlight w:val="none"/>
        </w:rPr>
        <w:t>信息</w:t>
      </w:r>
      <w:r>
        <w:rPr>
          <w:rFonts w:hint="default" w:ascii="Times New Roman" w:hAnsi="Times New Roman" w:eastAsia="仿宋_GB2312" w:cs="Times New Roman"/>
          <w:bCs/>
          <w:color w:val="auto"/>
          <w:sz w:val="32"/>
          <w:szCs w:val="32"/>
          <w:highlight w:val="none"/>
        </w:rPr>
        <w:t>。</w:t>
      </w:r>
    </w:p>
    <w:p w14:paraId="46D171CE">
      <w:pPr>
        <w:pStyle w:val="33"/>
        <w:numPr>
          <w:ilvl w:val="0"/>
          <w:numId w:val="0"/>
        </w:numPr>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hint="eastAsia" w:ascii="Times New Roman" w:hAnsi="Times New Roman" w:eastAsia="仿宋_GB2312" w:cs="Times New Roman"/>
          <w:bCs/>
          <w:color w:val="auto"/>
          <w:sz w:val="32"/>
          <w:szCs w:val="32"/>
          <w:highlight w:val="none"/>
          <w:lang w:val="en-US" w:eastAsia="zh-CN"/>
        </w:rPr>
        <w:t>（二）日内</w:t>
      </w:r>
      <w:r>
        <w:rPr>
          <w:rFonts w:hint="default" w:ascii="Times New Roman" w:hAnsi="Times New Roman" w:eastAsia="仿宋_GB2312" w:cs="Times New Roman"/>
          <w:bCs/>
          <w:color w:val="auto"/>
          <w:sz w:val="32"/>
          <w:szCs w:val="32"/>
          <w:highlight w:val="none"/>
          <w:lang w:val="en-US" w:eastAsia="zh-CN"/>
        </w:rPr>
        <w:t>响应需求发布</w:t>
      </w:r>
      <w:r>
        <w:rPr>
          <w:rFonts w:hint="eastAsia" w:ascii="Times New Roman" w:hAnsi="Times New Roman" w:eastAsia="仿宋_GB2312" w:cs="Times New Roman"/>
          <w:bCs/>
          <w:color w:val="auto"/>
          <w:sz w:val="32"/>
          <w:szCs w:val="32"/>
          <w:highlight w:val="none"/>
          <w:lang w:val="en-US" w:eastAsia="zh-CN"/>
        </w:rPr>
        <w:t>。在日内响应时段开始2小时前（含），</w:t>
      </w:r>
      <w:r>
        <w:rPr>
          <w:rFonts w:hint="default" w:ascii="Times New Roman" w:hAnsi="Times New Roman" w:eastAsia="仿宋_GB2312" w:cs="Times New Roman"/>
          <w:bCs/>
          <w:color w:val="auto"/>
          <w:sz w:val="32"/>
          <w:szCs w:val="32"/>
          <w:highlight w:val="none"/>
          <w:lang w:val="en-US" w:eastAsia="zh-CN"/>
        </w:rPr>
        <w:t>管理中心根据</w:t>
      </w:r>
      <w:r>
        <w:rPr>
          <w:rFonts w:hint="eastAsia" w:ascii="Times New Roman" w:hAnsi="Times New Roman" w:eastAsia="仿宋_GB2312" w:cs="Times New Roman"/>
          <w:bCs/>
          <w:color w:val="auto"/>
          <w:sz w:val="32"/>
          <w:szCs w:val="32"/>
          <w:highlight w:val="none"/>
          <w:lang w:val="en-US" w:eastAsia="zh-CN"/>
        </w:rPr>
        <w:t>评估</w:t>
      </w:r>
      <w:r>
        <w:rPr>
          <w:rFonts w:hint="default" w:ascii="Times New Roman" w:hAnsi="Times New Roman" w:eastAsia="仿宋_GB2312" w:cs="Times New Roman"/>
          <w:bCs/>
          <w:color w:val="auto"/>
          <w:sz w:val="32"/>
          <w:szCs w:val="32"/>
          <w:highlight w:val="none"/>
          <w:lang w:val="en-US" w:eastAsia="zh-CN"/>
        </w:rPr>
        <w:t>的</w:t>
      </w:r>
      <w:r>
        <w:rPr>
          <w:rFonts w:hint="eastAsia" w:ascii="Times New Roman" w:hAnsi="Times New Roman" w:eastAsia="仿宋_GB2312" w:cs="Times New Roman"/>
          <w:bCs/>
          <w:color w:val="auto"/>
          <w:sz w:val="32"/>
          <w:szCs w:val="32"/>
          <w:highlight w:val="none"/>
          <w:lang w:val="en-US" w:eastAsia="zh-CN"/>
        </w:rPr>
        <w:t>日内响应</w:t>
      </w:r>
      <w:r>
        <w:rPr>
          <w:rFonts w:hint="default" w:ascii="Times New Roman" w:hAnsi="Times New Roman" w:eastAsia="仿宋_GB2312" w:cs="Times New Roman"/>
          <w:bCs/>
          <w:color w:val="auto"/>
          <w:sz w:val="32"/>
          <w:szCs w:val="32"/>
          <w:highlight w:val="none"/>
          <w:lang w:val="en-US" w:eastAsia="zh-CN"/>
        </w:rPr>
        <w:t>需求，通过</w:t>
      </w:r>
      <w:r>
        <w:rPr>
          <w:rFonts w:hint="eastAsia" w:ascii="Times New Roman" w:hAnsi="Times New Roman" w:eastAsia="仿宋_GB2312" w:cs="Times New Roman"/>
          <w:bCs/>
          <w:color w:val="auto"/>
          <w:sz w:val="32"/>
          <w:szCs w:val="32"/>
          <w:highlight w:val="none"/>
          <w:lang w:val="en-US" w:eastAsia="zh-CN"/>
        </w:rPr>
        <w:t>虚拟电厂平台</w:t>
      </w:r>
      <w:r>
        <w:rPr>
          <w:rFonts w:hint="default" w:ascii="Times New Roman" w:hAnsi="Times New Roman" w:eastAsia="仿宋_GB2312" w:cs="Times New Roman"/>
          <w:bCs/>
          <w:color w:val="auto"/>
          <w:sz w:val="32"/>
          <w:szCs w:val="32"/>
          <w:highlight w:val="none"/>
          <w:lang w:val="en-US" w:eastAsia="zh-CN"/>
        </w:rPr>
        <w:t>发布系统调节响应需求时段、</w:t>
      </w:r>
      <w:r>
        <w:rPr>
          <w:rFonts w:hint="eastAsia" w:ascii="Times New Roman" w:hAnsi="Times New Roman" w:eastAsia="仿宋_GB2312" w:cs="Times New Roman"/>
          <w:bCs/>
          <w:color w:val="auto"/>
          <w:sz w:val="32"/>
          <w:szCs w:val="32"/>
          <w:highlight w:val="none"/>
          <w:lang w:val="en-US" w:eastAsia="zh-CN"/>
        </w:rPr>
        <w:t>需求</w:t>
      </w:r>
      <w:r>
        <w:rPr>
          <w:rFonts w:hint="default" w:ascii="Times New Roman" w:hAnsi="Times New Roman" w:eastAsia="仿宋_GB2312" w:cs="Times New Roman"/>
          <w:bCs/>
          <w:color w:val="auto"/>
          <w:sz w:val="32"/>
          <w:szCs w:val="32"/>
          <w:highlight w:val="none"/>
          <w:lang w:val="en-US" w:eastAsia="zh-CN"/>
        </w:rPr>
        <w:t>容量、响应类型，</w:t>
      </w:r>
      <w:r>
        <w:rPr>
          <w:rFonts w:hint="eastAsia" w:ascii="Times New Roman" w:hAnsi="Times New Roman" w:eastAsia="仿宋_GB2312" w:cs="Times New Roman"/>
          <w:bCs/>
          <w:color w:val="auto"/>
          <w:sz w:val="32"/>
          <w:szCs w:val="32"/>
          <w:highlight w:val="none"/>
          <w:lang w:val="en-US" w:eastAsia="zh-CN"/>
        </w:rPr>
        <w:t>需求范围、</w:t>
      </w:r>
      <w:r>
        <w:rPr>
          <w:rFonts w:hint="default" w:ascii="Times New Roman" w:hAnsi="Times New Roman" w:eastAsia="仿宋_GB2312" w:cs="Times New Roman"/>
          <w:bCs/>
          <w:color w:val="auto"/>
          <w:sz w:val="32"/>
          <w:szCs w:val="32"/>
          <w:highlight w:val="none"/>
          <w:lang w:val="en-US" w:eastAsia="zh-CN"/>
        </w:rPr>
        <w:t>参考基线等</w:t>
      </w:r>
      <w:r>
        <w:rPr>
          <w:rFonts w:hint="eastAsia" w:ascii="Times New Roman" w:hAnsi="Times New Roman" w:eastAsia="仿宋_GB2312" w:cs="Times New Roman"/>
          <w:bCs/>
          <w:color w:val="auto"/>
          <w:sz w:val="32"/>
          <w:szCs w:val="32"/>
          <w:highlight w:val="none"/>
          <w:lang w:val="en-US" w:eastAsia="zh-CN"/>
        </w:rPr>
        <w:t>信息</w:t>
      </w:r>
      <w:r>
        <w:rPr>
          <w:rFonts w:hint="default" w:ascii="Times New Roman" w:hAnsi="Times New Roman" w:eastAsia="仿宋_GB2312" w:cs="Times New Roman"/>
          <w:bCs/>
          <w:color w:val="auto"/>
          <w:sz w:val="32"/>
          <w:szCs w:val="32"/>
          <w:highlight w:val="none"/>
          <w:lang w:val="en-US" w:eastAsia="zh-CN"/>
        </w:rPr>
        <w:t>。在电网事故等应急情况下，日内响应需求发布可采用线下表单与电话紧急通知的方式、发布时间可</w:t>
      </w:r>
      <w:r>
        <w:rPr>
          <w:rFonts w:hint="eastAsia" w:ascii="Times New Roman" w:hAnsi="Times New Roman" w:eastAsia="仿宋_GB2312" w:cs="Times New Roman"/>
          <w:bCs/>
          <w:color w:val="auto"/>
          <w:sz w:val="32"/>
          <w:szCs w:val="32"/>
          <w:highlight w:val="none"/>
          <w:lang w:val="en-US" w:eastAsia="zh-CN"/>
        </w:rPr>
        <w:t>调整为</w:t>
      </w:r>
      <w:r>
        <w:rPr>
          <w:rFonts w:hint="default" w:ascii="Times New Roman" w:hAnsi="Times New Roman" w:eastAsia="仿宋_GB2312" w:cs="Times New Roman"/>
          <w:bCs/>
          <w:color w:val="auto"/>
          <w:sz w:val="32"/>
          <w:szCs w:val="32"/>
          <w:highlight w:val="none"/>
          <w:lang w:val="en-US" w:eastAsia="zh-CN"/>
        </w:rPr>
        <w:t>15分钟。</w:t>
      </w:r>
    </w:p>
    <w:p w14:paraId="23653D51">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Cs/>
          <w:color w:val="auto"/>
          <w:sz w:val="32"/>
          <w:szCs w:val="32"/>
          <w:highlight w:val="none"/>
          <w:lang w:val="en-US" w:eastAsia="zh-CN"/>
        </w:rPr>
      </w:pPr>
      <w:r>
        <w:rPr>
          <w:rFonts w:ascii="Times New Roman" w:hAnsi="Times New Roman" w:eastAsia="仿宋_GB2312" w:cs="Times New Roman"/>
          <w:b/>
          <w:color w:val="auto"/>
          <w:sz w:val="32"/>
          <w:szCs w:val="32"/>
          <w:highlight w:val="none"/>
        </w:rPr>
        <w:t>备用服务</w:t>
      </w:r>
      <w:r>
        <w:rPr>
          <w:rFonts w:hint="eastAsia" w:ascii="Times New Roman" w:hAnsi="Times New Roman" w:eastAsia="仿宋_GB2312" w:cs="Times New Roman"/>
          <w:b/>
          <w:color w:val="auto"/>
          <w:sz w:val="32"/>
          <w:szCs w:val="32"/>
          <w:highlight w:val="none"/>
          <w:lang w:val="en-US" w:eastAsia="zh-CN"/>
        </w:rPr>
        <w:t xml:space="preserve"> </w:t>
      </w:r>
      <w:r>
        <w:rPr>
          <w:rFonts w:ascii="Times New Roman" w:hAnsi="Times New Roman" w:eastAsia="仿宋_GB2312" w:cs="Times New Roman"/>
          <w:bCs/>
          <w:color w:val="auto"/>
          <w:sz w:val="32"/>
          <w:szCs w:val="32"/>
          <w:highlight w:val="none"/>
        </w:rPr>
        <w:t>备用服务需求发布。</w:t>
      </w:r>
      <w:r>
        <w:rPr>
          <w:rFonts w:hint="eastAsia" w:ascii="Times New Roman" w:hAnsi="Times New Roman" w:eastAsia="仿宋_GB2312" w:cs="Times New Roman"/>
          <w:bCs/>
          <w:color w:val="auto"/>
          <w:sz w:val="32"/>
          <w:szCs w:val="32"/>
          <w:highlight w:val="none"/>
          <w:lang w:val="en-US" w:eastAsia="zh-CN"/>
        </w:rPr>
        <w:t>原则上，</w:t>
      </w:r>
      <w:r>
        <w:rPr>
          <w:rFonts w:ascii="Times New Roman" w:hAnsi="Times New Roman" w:eastAsia="仿宋_GB2312" w:cs="Times New Roman"/>
          <w:bCs/>
          <w:color w:val="auto"/>
          <w:sz w:val="32"/>
          <w:szCs w:val="32"/>
          <w:highlight w:val="none"/>
        </w:rPr>
        <w:t>在</w:t>
      </w:r>
      <w:r>
        <w:rPr>
          <w:rFonts w:hint="eastAsia" w:ascii="Times New Roman" w:hAnsi="Times New Roman" w:eastAsia="仿宋_GB2312" w:cs="Times New Roman"/>
          <w:bCs/>
          <w:color w:val="auto"/>
          <w:sz w:val="32"/>
          <w:szCs w:val="32"/>
          <w:highlight w:val="none"/>
          <w:lang w:val="en-US" w:eastAsia="zh-CN"/>
        </w:rPr>
        <w:t>需求发布月（</w:t>
      </w:r>
      <w:r>
        <w:rPr>
          <w:rFonts w:ascii="Times New Roman" w:hAnsi="Times New Roman" w:eastAsia="仿宋_GB2312" w:cs="Times New Roman"/>
          <w:bCs/>
          <w:color w:val="auto"/>
          <w:sz w:val="32"/>
          <w:szCs w:val="32"/>
          <w:highlight w:val="none"/>
        </w:rPr>
        <w:t>M-1月</w:t>
      </w:r>
      <w:r>
        <w:rPr>
          <w:rFonts w:hint="eastAsia" w:ascii="Times New Roman" w:hAnsi="Times New Roman" w:eastAsia="仿宋_GB2312" w:cs="Times New Roman"/>
          <w:bCs/>
          <w:color w:val="auto"/>
          <w:sz w:val="32"/>
          <w:szCs w:val="32"/>
          <w:highlight w:val="none"/>
          <w:lang w:val="en-US" w:eastAsia="zh-CN"/>
        </w:rPr>
        <w:t>）</w:t>
      </w:r>
      <w:r>
        <w:rPr>
          <w:rFonts w:ascii="Times New Roman" w:hAnsi="Times New Roman" w:eastAsia="仿宋_GB2312" w:cs="Times New Roman"/>
          <w:bCs/>
          <w:color w:val="auto"/>
          <w:sz w:val="32"/>
          <w:szCs w:val="32"/>
          <w:highlight w:val="none"/>
        </w:rPr>
        <w:t>，管理中心通过虚拟电厂管理平台向响应主体发布</w:t>
      </w:r>
      <w:r>
        <w:rPr>
          <w:rFonts w:hint="eastAsia" w:ascii="Times New Roman" w:hAnsi="Times New Roman" w:eastAsia="仿宋_GB2312" w:cs="Times New Roman"/>
          <w:bCs/>
          <w:color w:val="auto"/>
          <w:sz w:val="32"/>
          <w:szCs w:val="32"/>
          <w:highlight w:val="none"/>
          <w:lang w:val="en-US" w:eastAsia="zh-CN"/>
        </w:rPr>
        <w:t>下个月度备用需求容量、需求区域、备用需求时段、备用价格等信息</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特殊情况下，视电网需求可临时发布，单次备用需求持续时长不少于2周。</w:t>
      </w:r>
    </w:p>
    <w:p w14:paraId="2EEED80D">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
          <w:color w:val="auto"/>
          <w:sz w:val="32"/>
          <w:szCs w:val="32"/>
          <w:highlight w:val="none"/>
        </w:rPr>
        <w:t>无功调节</w:t>
      </w:r>
      <w:r>
        <w:rPr>
          <w:rFonts w:hint="eastAsia" w:ascii="Times New Roman" w:hAnsi="Times New Roman" w:eastAsia="仿宋_GB2312" w:cs="Times New Roman"/>
          <w:b/>
          <w:color w:val="auto"/>
          <w:sz w:val="32"/>
          <w:szCs w:val="32"/>
          <w:highlight w:val="none"/>
          <w:lang w:val="en-US" w:eastAsia="zh-CN"/>
        </w:rPr>
        <w:t xml:space="preserve"> </w:t>
      </w:r>
      <w:r>
        <w:rPr>
          <w:rFonts w:ascii="Times New Roman" w:hAnsi="Times New Roman" w:eastAsia="仿宋_GB2312" w:cs="Times New Roman"/>
          <w:bCs/>
          <w:color w:val="auto"/>
          <w:sz w:val="32"/>
          <w:szCs w:val="32"/>
          <w:highlight w:val="none"/>
        </w:rPr>
        <w:t>无功调节需求发布。采用日前邀约方式执行。</w:t>
      </w:r>
      <w:r>
        <w:rPr>
          <w:rFonts w:hint="eastAsia" w:ascii="Times New Roman" w:hAnsi="Times New Roman" w:eastAsia="仿宋_GB2312" w:cs="Times New Roman"/>
          <w:bCs/>
          <w:color w:val="auto"/>
          <w:sz w:val="32"/>
          <w:szCs w:val="32"/>
          <w:highlight w:val="none"/>
          <w:lang w:val="en-US" w:eastAsia="zh-CN"/>
        </w:rPr>
        <w:t>在需求发布日（D-1日）</w:t>
      </w:r>
      <w:r>
        <w:rPr>
          <w:rFonts w:ascii="Times New Roman" w:hAnsi="Times New Roman" w:eastAsia="仿宋_GB2312" w:cs="Times New Roman"/>
          <w:bCs/>
          <w:color w:val="auto"/>
          <w:sz w:val="32"/>
          <w:szCs w:val="32"/>
          <w:highlight w:val="none"/>
        </w:rPr>
        <w:t>，管理中心根据</w:t>
      </w:r>
      <w:r>
        <w:rPr>
          <w:rFonts w:hint="eastAsia" w:ascii="Times New Roman" w:hAnsi="Times New Roman" w:eastAsia="仿宋_GB2312" w:cs="Times New Roman"/>
          <w:bCs/>
          <w:color w:val="auto"/>
          <w:sz w:val="32"/>
          <w:szCs w:val="32"/>
          <w:highlight w:val="none"/>
          <w:lang w:val="en-US" w:eastAsia="zh-CN"/>
        </w:rPr>
        <w:t>评估的</w:t>
      </w:r>
      <w:r>
        <w:rPr>
          <w:rFonts w:hint="default" w:ascii="Times New Roman" w:hAnsi="Times New Roman" w:eastAsia="仿宋_GB2312" w:cs="Times New Roman"/>
          <w:bCs/>
          <w:color w:val="auto"/>
          <w:sz w:val="32"/>
          <w:szCs w:val="32"/>
          <w:highlight w:val="none"/>
        </w:rPr>
        <w:t>运行日</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D日</w:t>
      </w:r>
      <w:r>
        <w:rPr>
          <w:rFonts w:ascii="Times New Roman" w:hAnsi="Times New Roman" w:eastAsia="仿宋_GB2312" w:cs="Times New Roman"/>
          <w:bCs/>
          <w:color w:val="auto"/>
          <w:sz w:val="32"/>
          <w:szCs w:val="32"/>
          <w:highlight w:val="none"/>
        </w:rPr>
        <w:t>）无功调节需求，通过虚拟电厂管理平台发布无功调节的</w:t>
      </w:r>
      <w:r>
        <w:rPr>
          <w:rFonts w:hint="default" w:ascii="Times New Roman" w:hAnsi="Times New Roman" w:eastAsia="仿宋_GB2312" w:cs="Times New Roman"/>
          <w:bCs/>
          <w:color w:val="auto"/>
          <w:sz w:val="32"/>
          <w:szCs w:val="32"/>
          <w:highlight w:val="none"/>
          <w:lang w:val="en-US" w:eastAsia="zh-CN"/>
        </w:rPr>
        <w:t>需求时段、</w:t>
      </w:r>
      <w:r>
        <w:rPr>
          <w:rFonts w:hint="eastAsia" w:ascii="Times New Roman" w:hAnsi="Times New Roman" w:eastAsia="仿宋_GB2312" w:cs="Times New Roman"/>
          <w:bCs/>
          <w:color w:val="auto"/>
          <w:sz w:val="32"/>
          <w:szCs w:val="32"/>
          <w:highlight w:val="none"/>
          <w:lang w:val="en-US" w:eastAsia="zh-CN"/>
        </w:rPr>
        <w:t>需求</w:t>
      </w:r>
      <w:r>
        <w:rPr>
          <w:rFonts w:hint="default" w:ascii="Times New Roman" w:hAnsi="Times New Roman" w:eastAsia="仿宋_GB2312" w:cs="Times New Roman"/>
          <w:bCs/>
          <w:color w:val="auto"/>
          <w:sz w:val="32"/>
          <w:szCs w:val="32"/>
          <w:highlight w:val="none"/>
          <w:lang w:val="en-US" w:eastAsia="zh-CN"/>
        </w:rPr>
        <w:t>容量、响应类型，</w:t>
      </w:r>
      <w:r>
        <w:rPr>
          <w:rFonts w:hint="eastAsia" w:ascii="Times New Roman" w:hAnsi="Times New Roman" w:eastAsia="仿宋_GB2312" w:cs="Times New Roman"/>
          <w:bCs/>
          <w:color w:val="auto"/>
          <w:sz w:val="32"/>
          <w:szCs w:val="32"/>
          <w:highlight w:val="none"/>
          <w:lang w:val="en-US" w:eastAsia="zh-CN"/>
        </w:rPr>
        <w:t>需求范围、</w:t>
      </w:r>
      <w:r>
        <w:rPr>
          <w:rFonts w:hint="default" w:ascii="Times New Roman" w:hAnsi="Times New Roman" w:eastAsia="仿宋_GB2312" w:cs="Times New Roman"/>
          <w:bCs/>
          <w:color w:val="auto"/>
          <w:sz w:val="32"/>
          <w:szCs w:val="32"/>
          <w:highlight w:val="none"/>
          <w:lang w:val="en-US" w:eastAsia="zh-CN"/>
        </w:rPr>
        <w:t>参考基线等</w:t>
      </w:r>
      <w:r>
        <w:rPr>
          <w:rFonts w:hint="eastAsia" w:ascii="Times New Roman" w:hAnsi="Times New Roman" w:eastAsia="仿宋_GB2312" w:cs="Times New Roman"/>
          <w:bCs/>
          <w:color w:val="auto"/>
          <w:sz w:val="32"/>
          <w:szCs w:val="32"/>
          <w:highlight w:val="none"/>
          <w:lang w:val="en-US" w:eastAsia="zh-CN"/>
        </w:rPr>
        <w:t>信息</w:t>
      </w:r>
      <w:r>
        <w:rPr>
          <w:rFonts w:hint="default" w:ascii="Times New Roman" w:hAnsi="Times New Roman" w:eastAsia="仿宋_GB2312" w:cs="Times New Roman"/>
          <w:bCs/>
          <w:color w:val="auto"/>
          <w:sz w:val="32"/>
          <w:szCs w:val="32"/>
          <w:highlight w:val="none"/>
        </w:rPr>
        <w:t>。</w:t>
      </w:r>
    </w:p>
    <w:p w14:paraId="4FC3AD73">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rPr>
        <w:t>响应申报</w:t>
      </w:r>
    </w:p>
    <w:p w14:paraId="5366F092">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lang w:eastAsia="zh-CN"/>
        </w:rPr>
        <w:t>有功响应</w:t>
      </w:r>
    </w:p>
    <w:p w14:paraId="6E9D2371">
      <w:pPr>
        <w:pStyle w:val="33"/>
        <w:tabs>
          <w:tab w:val="left" w:pos="6720"/>
        </w:tabs>
        <w:spacing w:line="560" w:lineRule="exact"/>
        <w:ind w:firstLine="640"/>
        <w:rPr>
          <w:rFonts w:hint="eastAsia" w:ascii="Times New Roman" w:hAnsi="Times New Roman" w:eastAsia="仿宋_GB2312" w:cs="Times New Roman"/>
          <w:bCs/>
          <w:color w:val="auto"/>
          <w:sz w:val="32"/>
          <w:szCs w:val="32"/>
          <w:highlight w:val="none"/>
          <w:lang w:val="en-US" w:eastAsia="zh-CN"/>
        </w:rPr>
      </w:pPr>
      <w:r>
        <w:rPr>
          <w:rFonts w:ascii="Times New Roman" w:hAnsi="Times New Roman" w:eastAsia="仿宋_GB2312" w:cs="Times New Roman"/>
          <w:bCs/>
          <w:color w:val="auto"/>
          <w:sz w:val="32"/>
          <w:szCs w:val="32"/>
          <w:highlight w:val="none"/>
        </w:rPr>
        <w:t>（一）日前</w:t>
      </w:r>
      <w:r>
        <w:rPr>
          <w:rFonts w:hint="default" w:ascii="Times New Roman" w:hAnsi="Times New Roman" w:eastAsia="仿宋_GB2312" w:cs="Times New Roman"/>
          <w:bCs/>
          <w:color w:val="auto"/>
          <w:sz w:val="32"/>
          <w:szCs w:val="32"/>
          <w:highlight w:val="none"/>
        </w:rPr>
        <w:t>响应申报</w:t>
      </w:r>
      <w:r>
        <w:rPr>
          <w:rFonts w:ascii="Times New Roman" w:hAnsi="Times New Roman" w:eastAsia="仿宋_GB2312" w:cs="Times New Roman"/>
          <w:bCs/>
          <w:color w:val="auto"/>
          <w:sz w:val="32"/>
          <w:szCs w:val="32"/>
          <w:highlight w:val="none"/>
        </w:rPr>
        <w:t>。响应主体</w:t>
      </w:r>
      <w:r>
        <w:rPr>
          <w:rFonts w:hint="eastAsia" w:ascii="Times New Roman" w:hAnsi="Times New Roman" w:eastAsia="仿宋_GB2312" w:cs="Times New Roman"/>
          <w:bCs/>
          <w:color w:val="auto"/>
          <w:sz w:val="32"/>
          <w:szCs w:val="32"/>
          <w:highlight w:val="none"/>
          <w:lang w:val="en-US" w:eastAsia="zh-CN"/>
        </w:rPr>
        <w:t>于截止申报时间前，</w:t>
      </w:r>
      <w:r>
        <w:rPr>
          <w:rFonts w:ascii="Times New Roman" w:hAnsi="Times New Roman" w:eastAsia="仿宋_GB2312" w:cs="Times New Roman"/>
          <w:bCs/>
          <w:color w:val="auto"/>
          <w:sz w:val="32"/>
          <w:szCs w:val="32"/>
          <w:highlight w:val="none"/>
        </w:rPr>
        <w:t>向管理中心</w:t>
      </w:r>
      <w:r>
        <w:rPr>
          <w:rFonts w:hint="default" w:ascii="Times New Roman" w:hAnsi="Times New Roman" w:eastAsia="仿宋_GB2312" w:cs="Times New Roman"/>
          <w:color w:val="auto"/>
          <w:sz w:val="32"/>
          <w:szCs w:val="32"/>
          <w:highlight w:val="none"/>
        </w:rPr>
        <w:t>申报日前响应容量、响应</w:t>
      </w:r>
      <w:r>
        <w:rPr>
          <w:rFonts w:ascii="Times New Roman" w:hAnsi="Times New Roman" w:eastAsia="仿宋_GB2312" w:cs="Times New Roman"/>
          <w:color w:val="auto"/>
          <w:sz w:val="32"/>
          <w:szCs w:val="32"/>
          <w:highlight w:val="none"/>
        </w:rPr>
        <w:t>时段</w:t>
      </w:r>
      <w:r>
        <w:rPr>
          <w:rFonts w:hint="default" w:ascii="Times New Roman" w:hAnsi="Times New Roman" w:eastAsia="仿宋_GB2312" w:cs="Times New Roman"/>
          <w:color w:val="auto"/>
          <w:sz w:val="32"/>
          <w:szCs w:val="32"/>
          <w:highlight w:val="none"/>
        </w:rPr>
        <w:t>等信息</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具体包括：</w:t>
      </w:r>
    </w:p>
    <w:p w14:paraId="7644CEF0">
      <w:pPr>
        <w:pStyle w:val="33"/>
        <w:tabs>
          <w:tab w:val="left" w:pos="6720"/>
        </w:tabs>
        <w:adjustRightInd w:val="0"/>
        <w:snapToGrid w:val="0"/>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1</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响应</w:t>
      </w:r>
      <w:r>
        <w:rPr>
          <w:rFonts w:ascii="Times New Roman" w:hAnsi="Times New Roman" w:eastAsia="仿宋_GB2312" w:cs="Times New Roman"/>
          <w:bCs/>
          <w:color w:val="auto"/>
          <w:sz w:val="32"/>
          <w:szCs w:val="32"/>
          <w:highlight w:val="none"/>
        </w:rPr>
        <w:t>容量</w:t>
      </w:r>
      <w:r>
        <w:rPr>
          <w:rFonts w:hint="eastAsia" w:ascii="Times New Roman" w:hAnsi="Times New Roman" w:eastAsia="仿宋_GB2312" w:cs="Times New Roman"/>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val="en-US" w:eastAsia="zh-CN"/>
        </w:rPr>
        <w:t>为</w:t>
      </w:r>
      <w:r>
        <w:rPr>
          <w:rFonts w:ascii="Times New Roman" w:hAnsi="Times New Roman" w:eastAsia="仿宋_GB2312" w:cs="Times New Roman"/>
          <w:bCs/>
          <w:color w:val="auto"/>
          <w:sz w:val="32"/>
          <w:szCs w:val="32"/>
          <w:highlight w:val="none"/>
        </w:rPr>
        <w:t>各</w:t>
      </w:r>
      <w:r>
        <w:rPr>
          <w:rFonts w:hint="eastAsia" w:ascii="Times New Roman" w:hAnsi="Times New Roman" w:eastAsia="仿宋_GB2312" w:cs="Times New Roman"/>
          <w:bCs/>
          <w:color w:val="auto"/>
          <w:sz w:val="32"/>
          <w:szCs w:val="32"/>
          <w:highlight w:val="none"/>
          <w:lang w:val="en-US" w:eastAsia="zh-CN"/>
        </w:rPr>
        <w:t>用户</w:t>
      </w:r>
      <w:r>
        <w:rPr>
          <w:rFonts w:ascii="Times New Roman" w:hAnsi="Times New Roman" w:eastAsia="仿宋_GB2312" w:cs="Times New Roman"/>
          <w:bCs/>
          <w:color w:val="auto"/>
          <w:sz w:val="32"/>
          <w:szCs w:val="32"/>
          <w:highlight w:val="none"/>
        </w:rPr>
        <w:t>可调节容量之和。</w:t>
      </w:r>
    </w:p>
    <w:p w14:paraId="3E30B952">
      <w:pPr>
        <w:pStyle w:val="33"/>
        <w:tabs>
          <w:tab w:val="left" w:pos="6720"/>
        </w:tabs>
        <w:adjustRightInd w:val="0"/>
        <w:snapToGrid w:val="0"/>
        <w:spacing w:line="560" w:lineRule="exact"/>
        <w:ind w:firstLine="640"/>
        <w:rPr>
          <w:rFonts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2</w:t>
      </w:r>
      <w:r>
        <w:rPr>
          <w:rFonts w:ascii="Times New Roman" w:hAnsi="Times New Roman" w:eastAsia="仿宋_GB2312" w:cs="Times New Roman"/>
          <w:bCs/>
          <w:color w:val="auto"/>
          <w:sz w:val="32"/>
          <w:szCs w:val="32"/>
          <w:highlight w:val="none"/>
        </w:rPr>
        <w:t>）资源组合清单，包括</w:t>
      </w:r>
      <w:r>
        <w:rPr>
          <w:rFonts w:hint="eastAsia" w:ascii="Times New Roman" w:hAnsi="Times New Roman" w:eastAsia="仿宋_GB2312" w:cs="Times New Roman"/>
          <w:bCs/>
          <w:color w:val="auto"/>
          <w:sz w:val="32"/>
          <w:szCs w:val="32"/>
          <w:highlight w:val="none"/>
          <w:lang w:val="en-US" w:eastAsia="zh-CN"/>
        </w:rPr>
        <w:t>D日响应资源</w:t>
      </w:r>
      <w:r>
        <w:rPr>
          <w:rFonts w:ascii="Times New Roman" w:hAnsi="Times New Roman" w:eastAsia="仿宋_GB2312" w:cs="Times New Roman"/>
          <w:bCs/>
          <w:color w:val="auto"/>
          <w:sz w:val="32"/>
          <w:szCs w:val="32"/>
          <w:highlight w:val="none"/>
        </w:rPr>
        <w:t>的用电户号</w:t>
      </w:r>
      <w:r>
        <w:rPr>
          <w:rFonts w:hint="eastAsia" w:ascii="Times New Roman" w:hAnsi="Times New Roman" w:eastAsia="仿宋_GB2312" w:cs="Times New Roman"/>
          <w:bCs/>
          <w:color w:val="auto"/>
          <w:sz w:val="32"/>
          <w:szCs w:val="32"/>
          <w:highlight w:val="none"/>
          <w:lang w:val="en-US" w:eastAsia="zh-CN"/>
        </w:rPr>
        <w:t>及响应</w:t>
      </w:r>
      <w:r>
        <w:rPr>
          <w:rFonts w:ascii="Times New Roman" w:hAnsi="Times New Roman" w:eastAsia="仿宋_GB2312" w:cs="Times New Roman"/>
          <w:bCs/>
          <w:color w:val="auto"/>
          <w:sz w:val="32"/>
          <w:szCs w:val="32"/>
          <w:highlight w:val="none"/>
        </w:rPr>
        <w:t>容量等。</w:t>
      </w:r>
    </w:p>
    <w:p w14:paraId="27F27466">
      <w:pPr>
        <w:pStyle w:val="33"/>
        <w:tabs>
          <w:tab w:val="left" w:pos="6720"/>
        </w:tabs>
        <w:adjustRightInd w:val="0"/>
        <w:snapToGrid w:val="0"/>
        <w:spacing w:line="560" w:lineRule="exact"/>
        <w:ind w:firstLine="640"/>
        <w:rPr>
          <w:rFonts w:hint="default"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日前</w:t>
      </w:r>
      <w:r>
        <w:rPr>
          <w:rFonts w:ascii="Times New Roman" w:hAnsi="Times New Roman" w:eastAsia="仿宋_GB2312" w:cs="Times New Roman"/>
          <w:bCs/>
          <w:color w:val="auto"/>
          <w:sz w:val="32"/>
          <w:szCs w:val="32"/>
          <w:highlight w:val="none"/>
        </w:rPr>
        <w:t>申报的资源组合，原则上不影响用户正常生产、运行。</w:t>
      </w:r>
    </w:p>
    <w:p w14:paraId="2E328797">
      <w:pPr>
        <w:pStyle w:val="33"/>
        <w:tabs>
          <w:tab w:val="left" w:pos="6720"/>
        </w:tabs>
        <w:spacing w:line="560" w:lineRule="exact"/>
        <w:ind w:firstLine="640"/>
        <w:rPr>
          <w:rFonts w:hint="eastAsia" w:ascii="Times New Roman" w:hAnsi="Times New Roman" w:eastAsia="仿宋_GB2312" w:cs="Times New Roman"/>
          <w:bCs/>
          <w:color w:val="auto"/>
          <w:sz w:val="32"/>
          <w:szCs w:val="32"/>
          <w:highlight w:val="none"/>
          <w:lang w:val="en-US" w:eastAsia="zh-CN"/>
        </w:rPr>
      </w:pPr>
      <w:r>
        <w:rPr>
          <w:rFonts w:ascii="Times New Roman" w:hAnsi="Times New Roman" w:eastAsia="仿宋_GB2312" w:cs="Times New Roman"/>
          <w:bCs/>
          <w:color w:val="auto"/>
          <w:sz w:val="32"/>
          <w:szCs w:val="32"/>
          <w:highlight w:val="none"/>
        </w:rPr>
        <w:t>（二）</w:t>
      </w:r>
      <w:r>
        <w:rPr>
          <w:rFonts w:hint="eastAsia" w:ascii="Times New Roman" w:hAnsi="Times New Roman" w:eastAsia="仿宋_GB2312" w:cs="Times New Roman"/>
          <w:bCs/>
          <w:color w:val="auto"/>
          <w:sz w:val="32"/>
          <w:szCs w:val="32"/>
          <w:highlight w:val="none"/>
          <w:lang w:val="en-US" w:eastAsia="zh-CN"/>
        </w:rPr>
        <w:t>日内</w:t>
      </w:r>
      <w:r>
        <w:rPr>
          <w:rFonts w:hint="default" w:ascii="Times New Roman" w:hAnsi="Times New Roman" w:eastAsia="仿宋_GB2312" w:cs="Times New Roman"/>
          <w:bCs/>
          <w:color w:val="auto"/>
          <w:sz w:val="32"/>
          <w:szCs w:val="32"/>
          <w:highlight w:val="none"/>
        </w:rPr>
        <w:t>响应申报</w:t>
      </w:r>
      <w:r>
        <w:rPr>
          <w:rFonts w:ascii="Times New Roman" w:hAnsi="Times New Roman" w:eastAsia="仿宋_GB2312" w:cs="Times New Roman"/>
          <w:bCs/>
          <w:color w:val="auto"/>
          <w:sz w:val="32"/>
          <w:szCs w:val="32"/>
          <w:highlight w:val="none"/>
        </w:rPr>
        <w:t>。响应主体</w:t>
      </w:r>
      <w:r>
        <w:rPr>
          <w:rFonts w:hint="eastAsia" w:ascii="Times New Roman" w:hAnsi="Times New Roman" w:eastAsia="仿宋_GB2312" w:cs="Times New Roman"/>
          <w:bCs/>
          <w:color w:val="auto"/>
          <w:sz w:val="32"/>
          <w:szCs w:val="32"/>
          <w:highlight w:val="none"/>
          <w:lang w:val="en-US" w:eastAsia="zh-CN"/>
        </w:rPr>
        <w:t>于截止申报时间前</w:t>
      </w:r>
      <w:r>
        <w:rPr>
          <w:rFonts w:ascii="Times New Roman" w:hAnsi="Times New Roman" w:eastAsia="仿宋_GB2312" w:cs="Times New Roman"/>
          <w:bCs/>
          <w:color w:val="auto"/>
          <w:sz w:val="32"/>
          <w:szCs w:val="32"/>
          <w:highlight w:val="none"/>
        </w:rPr>
        <w:t>，向管理中心申报</w:t>
      </w:r>
      <w:r>
        <w:rPr>
          <w:rFonts w:hint="eastAsia" w:ascii="Times New Roman" w:hAnsi="Times New Roman" w:eastAsia="仿宋_GB2312" w:cs="Times New Roman"/>
          <w:bCs/>
          <w:color w:val="auto"/>
          <w:sz w:val="32"/>
          <w:szCs w:val="32"/>
          <w:highlight w:val="none"/>
          <w:lang w:val="en-US" w:eastAsia="zh-CN"/>
        </w:rPr>
        <w:t>日内</w:t>
      </w:r>
      <w:r>
        <w:rPr>
          <w:rFonts w:ascii="Times New Roman" w:hAnsi="Times New Roman" w:eastAsia="仿宋_GB2312" w:cs="Times New Roman"/>
          <w:bCs/>
          <w:color w:val="auto"/>
          <w:sz w:val="32"/>
          <w:szCs w:val="32"/>
          <w:highlight w:val="none"/>
        </w:rPr>
        <w:t>响应容量</w:t>
      </w:r>
      <w:r>
        <w:rPr>
          <w:rFonts w:hint="eastAsia"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响应</w:t>
      </w:r>
      <w:r>
        <w:rPr>
          <w:rFonts w:ascii="Times New Roman" w:hAnsi="Times New Roman" w:eastAsia="仿宋_GB2312" w:cs="Times New Roman"/>
          <w:color w:val="auto"/>
          <w:sz w:val="32"/>
          <w:szCs w:val="32"/>
          <w:highlight w:val="none"/>
        </w:rPr>
        <w:t>时段</w:t>
      </w:r>
      <w:r>
        <w:rPr>
          <w:rFonts w:hint="default" w:ascii="Times New Roman" w:hAnsi="Times New Roman" w:eastAsia="仿宋_GB2312" w:cs="Times New Roman"/>
          <w:color w:val="auto"/>
          <w:sz w:val="32"/>
          <w:szCs w:val="32"/>
          <w:highlight w:val="none"/>
        </w:rPr>
        <w:t>等信息</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具体包括：</w:t>
      </w:r>
    </w:p>
    <w:p w14:paraId="3350FD40">
      <w:pPr>
        <w:pStyle w:val="33"/>
        <w:tabs>
          <w:tab w:val="left" w:pos="6720"/>
        </w:tabs>
        <w:adjustRightInd w:val="0"/>
        <w:snapToGrid w:val="0"/>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1</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响应</w:t>
      </w:r>
      <w:r>
        <w:rPr>
          <w:rFonts w:ascii="Times New Roman" w:hAnsi="Times New Roman" w:eastAsia="仿宋_GB2312" w:cs="Times New Roman"/>
          <w:bCs/>
          <w:color w:val="auto"/>
          <w:sz w:val="32"/>
          <w:szCs w:val="32"/>
          <w:highlight w:val="none"/>
        </w:rPr>
        <w:t>容量</w:t>
      </w:r>
      <w:r>
        <w:rPr>
          <w:rFonts w:hint="eastAsia" w:ascii="Times New Roman" w:hAnsi="Times New Roman" w:eastAsia="仿宋_GB2312" w:cs="Times New Roman"/>
          <w:bCs/>
          <w:color w:val="auto"/>
          <w:sz w:val="32"/>
          <w:szCs w:val="32"/>
          <w:highlight w:val="none"/>
          <w:lang w:eastAsia="zh-CN"/>
        </w:rPr>
        <w:t>，</w:t>
      </w:r>
      <w:r>
        <w:rPr>
          <w:rFonts w:ascii="Times New Roman" w:hAnsi="Times New Roman" w:eastAsia="仿宋_GB2312" w:cs="Times New Roman"/>
          <w:bCs/>
          <w:color w:val="auto"/>
          <w:sz w:val="32"/>
          <w:szCs w:val="32"/>
          <w:highlight w:val="none"/>
        </w:rPr>
        <w:t>为各</w:t>
      </w:r>
      <w:r>
        <w:rPr>
          <w:rFonts w:hint="eastAsia" w:ascii="Times New Roman" w:hAnsi="Times New Roman" w:eastAsia="仿宋_GB2312" w:cs="Times New Roman"/>
          <w:bCs/>
          <w:color w:val="auto"/>
          <w:sz w:val="32"/>
          <w:szCs w:val="32"/>
          <w:highlight w:val="none"/>
          <w:lang w:val="en-US" w:eastAsia="zh-CN"/>
        </w:rPr>
        <w:t>用户</w:t>
      </w:r>
      <w:r>
        <w:rPr>
          <w:rFonts w:ascii="Times New Roman" w:hAnsi="Times New Roman" w:eastAsia="仿宋_GB2312" w:cs="Times New Roman"/>
          <w:bCs/>
          <w:color w:val="auto"/>
          <w:sz w:val="32"/>
          <w:szCs w:val="32"/>
          <w:highlight w:val="none"/>
        </w:rPr>
        <w:t>可调节容量之和。</w:t>
      </w:r>
    </w:p>
    <w:p w14:paraId="41DCB71F">
      <w:pPr>
        <w:pStyle w:val="33"/>
        <w:tabs>
          <w:tab w:val="left" w:pos="6720"/>
        </w:tabs>
        <w:adjustRightInd w:val="0"/>
        <w:snapToGrid w:val="0"/>
        <w:spacing w:line="560" w:lineRule="exact"/>
        <w:ind w:firstLine="640"/>
        <w:rPr>
          <w:rFonts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2</w:t>
      </w:r>
      <w:r>
        <w:rPr>
          <w:rFonts w:ascii="Times New Roman" w:hAnsi="Times New Roman" w:eastAsia="仿宋_GB2312" w:cs="Times New Roman"/>
          <w:bCs/>
          <w:color w:val="auto"/>
          <w:sz w:val="32"/>
          <w:szCs w:val="32"/>
          <w:highlight w:val="none"/>
        </w:rPr>
        <w:t>）资源组合清单，包括</w:t>
      </w:r>
      <w:r>
        <w:rPr>
          <w:rFonts w:hint="eastAsia" w:ascii="Times New Roman" w:hAnsi="Times New Roman" w:eastAsia="仿宋_GB2312" w:cs="Times New Roman"/>
          <w:bCs/>
          <w:color w:val="auto"/>
          <w:sz w:val="32"/>
          <w:szCs w:val="32"/>
          <w:highlight w:val="none"/>
          <w:lang w:val="en-US" w:eastAsia="zh-CN"/>
        </w:rPr>
        <w:t>响应资源</w:t>
      </w:r>
      <w:r>
        <w:rPr>
          <w:rFonts w:ascii="Times New Roman" w:hAnsi="Times New Roman" w:eastAsia="仿宋_GB2312" w:cs="Times New Roman"/>
          <w:bCs/>
          <w:color w:val="auto"/>
          <w:sz w:val="32"/>
          <w:szCs w:val="32"/>
          <w:highlight w:val="none"/>
        </w:rPr>
        <w:t>的用电户号可</w:t>
      </w:r>
      <w:r>
        <w:rPr>
          <w:rFonts w:hint="eastAsia" w:ascii="Times New Roman" w:hAnsi="Times New Roman" w:eastAsia="仿宋_GB2312" w:cs="Times New Roman"/>
          <w:bCs/>
          <w:color w:val="auto"/>
          <w:sz w:val="32"/>
          <w:szCs w:val="32"/>
          <w:highlight w:val="none"/>
          <w:lang w:val="en-US" w:eastAsia="zh-CN"/>
        </w:rPr>
        <w:t>响应</w:t>
      </w:r>
      <w:r>
        <w:rPr>
          <w:rFonts w:ascii="Times New Roman" w:hAnsi="Times New Roman" w:eastAsia="仿宋_GB2312" w:cs="Times New Roman"/>
          <w:bCs/>
          <w:color w:val="auto"/>
          <w:sz w:val="32"/>
          <w:szCs w:val="32"/>
          <w:highlight w:val="none"/>
        </w:rPr>
        <w:t>容量等。</w:t>
      </w:r>
    </w:p>
    <w:p w14:paraId="75BDB57D">
      <w:pPr>
        <w:pStyle w:val="33"/>
        <w:tabs>
          <w:tab w:val="left" w:pos="6720"/>
        </w:tabs>
        <w:spacing w:line="560" w:lineRule="exact"/>
        <w:ind w:firstLine="640"/>
        <w:rPr>
          <w:rFonts w:hint="default" w:ascii="Times New Roman" w:hAnsi="Times New Roman" w:eastAsia="仿宋_GB2312" w:cs="Times New Roman"/>
          <w:b/>
          <w:color w:val="auto"/>
          <w:sz w:val="32"/>
          <w:szCs w:val="32"/>
          <w:highlight w:val="none"/>
        </w:rPr>
      </w:pPr>
      <w:r>
        <w:rPr>
          <w:rFonts w:hint="eastAsia" w:ascii="Times New Roman" w:hAnsi="Times New Roman" w:eastAsia="仿宋_GB2312" w:cs="Times New Roman"/>
          <w:bCs/>
          <w:color w:val="auto"/>
          <w:sz w:val="32"/>
          <w:szCs w:val="32"/>
          <w:highlight w:val="none"/>
          <w:lang w:val="en-US" w:eastAsia="zh-CN"/>
        </w:rPr>
        <w:t>日内</w:t>
      </w:r>
      <w:r>
        <w:rPr>
          <w:rFonts w:ascii="Times New Roman" w:hAnsi="Times New Roman" w:eastAsia="仿宋_GB2312" w:cs="Times New Roman"/>
          <w:bCs/>
          <w:color w:val="auto"/>
          <w:sz w:val="32"/>
          <w:szCs w:val="32"/>
          <w:highlight w:val="none"/>
        </w:rPr>
        <w:t>申报的资源组合，原则上不影响用户正常生产、运行</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在电网事故等应急情况下，响应主体的申报可采用线下表单的方式。</w:t>
      </w:r>
    </w:p>
    <w:p w14:paraId="36A85F60">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备用服务</w:t>
      </w:r>
    </w:p>
    <w:p w14:paraId="2D639958">
      <w:pPr>
        <w:pStyle w:val="33"/>
        <w:tabs>
          <w:tab w:val="left" w:pos="6720"/>
        </w:tabs>
        <w:spacing w:line="560" w:lineRule="exact"/>
        <w:ind w:firstLine="64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bidi="ar-SA"/>
        </w:rPr>
        <w:t>（一）</w:t>
      </w:r>
      <w:r>
        <w:rPr>
          <w:rFonts w:hint="eastAsia" w:ascii="Times New Roman" w:hAnsi="Times New Roman" w:eastAsia="仿宋_GB2312" w:cs="Times New Roman"/>
          <w:color w:val="auto"/>
          <w:sz w:val="32"/>
          <w:szCs w:val="32"/>
          <w:highlight w:val="none"/>
          <w:lang w:val="en-US" w:eastAsia="zh-CN"/>
        </w:rPr>
        <w:t>备用申报。</w:t>
      </w:r>
      <w:r>
        <w:rPr>
          <w:rFonts w:ascii="Times New Roman" w:hAnsi="Times New Roman" w:eastAsia="仿宋_GB2312" w:cs="Times New Roman"/>
          <w:bCs/>
          <w:color w:val="auto"/>
          <w:sz w:val="32"/>
          <w:szCs w:val="32"/>
          <w:highlight w:val="none"/>
        </w:rPr>
        <w:t>响应主体</w:t>
      </w:r>
      <w:r>
        <w:rPr>
          <w:rFonts w:hint="eastAsia" w:ascii="Times New Roman" w:hAnsi="Times New Roman" w:eastAsia="仿宋_GB2312" w:cs="Times New Roman"/>
          <w:bCs/>
          <w:color w:val="auto"/>
          <w:sz w:val="32"/>
          <w:szCs w:val="32"/>
          <w:highlight w:val="none"/>
          <w:lang w:val="en-US" w:eastAsia="zh-CN"/>
        </w:rPr>
        <w:t>于截止申报时间前，</w:t>
      </w:r>
      <w:r>
        <w:rPr>
          <w:rFonts w:ascii="Times New Roman" w:hAnsi="Times New Roman" w:eastAsia="仿宋_GB2312" w:cs="Times New Roman"/>
          <w:bCs/>
          <w:color w:val="auto"/>
          <w:sz w:val="32"/>
          <w:szCs w:val="32"/>
          <w:highlight w:val="none"/>
        </w:rPr>
        <w:t>向管理中心</w:t>
      </w:r>
      <w:r>
        <w:rPr>
          <w:rFonts w:hint="default" w:ascii="Times New Roman" w:hAnsi="Times New Roman" w:eastAsia="仿宋_GB2312" w:cs="Times New Roman"/>
          <w:color w:val="auto"/>
          <w:sz w:val="32"/>
          <w:szCs w:val="32"/>
          <w:highlight w:val="none"/>
        </w:rPr>
        <w:t>申报</w:t>
      </w:r>
      <w:r>
        <w:rPr>
          <w:rFonts w:hint="eastAsia" w:ascii="Times New Roman" w:hAnsi="Times New Roman" w:eastAsia="仿宋_GB2312" w:cs="Times New Roman"/>
          <w:color w:val="auto"/>
          <w:sz w:val="32"/>
          <w:szCs w:val="32"/>
          <w:highlight w:val="none"/>
          <w:lang w:val="en-US" w:eastAsia="zh-CN"/>
        </w:rPr>
        <w:t>最大备用容量、参与备用资源组合清单、参与备用资源的类型等信息。</w:t>
      </w:r>
    </w:p>
    <w:p w14:paraId="42F5AC62">
      <w:pPr>
        <w:tabs>
          <w:tab w:val="left" w:pos="6720"/>
        </w:tabs>
        <w:adjustRightInd/>
        <w:snapToGrid/>
        <w:spacing w:line="560" w:lineRule="exact"/>
        <w:ind w:firstLine="640"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二</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备用能力上报。</w:t>
      </w:r>
      <w:r>
        <w:rPr>
          <w:rFonts w:hint="eastAsia" w:ascii="Times New Roman" w:hAnsi="Times New Roman" w:eastAsia="仿宋_GB2312" w:cs="Times New Roman"/>
          <w:color w:val="auto"/>
          <w:sz w:val="32"/>
          <w:szCs w:val="32"/>
          <w:highlight w:val="none"/>
        </w:rPr>
        <w:t>在运行日前一日（</w:t>
      </w:r>
      <w:r>
        <w:rPr>
          <w:rFonts w:hint="eastAsia" w:ascii="Times New Roman" w:hAnsi="Times New Roman" w:eastAsia="仿宋_GB2312" w:cs="Times New Roman"/>
          <w:bCs/>
          <w:color w:val="auto"/>
          <w:sz w:val="32"/>
          <w:szCs w:val="32"/>
          <w:highlight w:val="none"/>
          <w:lang w:val="en-US" w:eastAsia="zh-CN"/>
        </w:rPr>
        <w:t>D-1日</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17:00前</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确定备用的</w:t>
      </w:r>
      <w:r>
        <w:rPr>
          <w:rFonts w:hint="eastAsia" w:ascii="Times New Roman" w:hAnsi="Times New Roman" w:eastAsia="仿宋_GB2312" w:cs="Times New Roman"/>
          <w:color w:val="auto"/>
          <w:sz w:val="32"/>
          <w:szCs w:val="32"/>
          <w:highlight w:val="none"/>
        </w:rPr>
        <w:t>响应主体通过技术支持系统向虚拟电厂管理平台申报</w:t>
      </w:r>
      <w:r>
        <w:rPr>
          <w:rFonts w:hint="eastAsia" w:ascii="Times New Roman" w:hAnsi="Times New Roman" w:eastAsia="仿宋_GB2312" w:cs="Times New Roman"/>
          <w:color w:val="auto"/>
          <w:sz w:val="32"/>
          <w:szCs w:val="32"/>
          <w:highlight w:val="none"/>
          <w:lang w:val="en-US" w:eastAsia="zh-CN"/>
        </w:rPr>
        <w:t>运行日</w:t>
      </w:r>
      <w:r>
        <w:rPr>
          <w:rFonts w:hint="eastAsia" w:ascii="Times New Roman" w:hAnsi="Times New Roman" w:eastAsia="仿宋_GB2312" w:cs="Times New Roman"/>
          <w:color w:val="auto"/>
          <w:sz w:val="32"/>
          <w:szCs w:val="32"/>
          <w:highlight w:val="none"/>
        </w:rPr>
        <w:t>的</w:t>
      </w:r>
      <w:r>
        <w:rPr>
          <w:rFonts w:ascii="Times New Roman" w:hAnsi="Times New Roman" w:eastAsia="仿宋_GB2312" w:cs="Times New Roman"/>
          <w:color w:val="auto"/>
          <w:sz w:val="32"/>
          <w:szCs w:val="32"/>
          <w:highlight w:val="none"/>
        </w:rPr>
        <w:t>备用时段</w:t>
      </w:r>
      <w:r>
        <w:rPr>
          <w:rFonts w:hint="eastAsia" w:ascii="Times New Roman" w:hAnsi="Times New Roman" w:eastAsia="仿宋_GB2312" w:cs="Times New Roman"/>
          <w:color w:val="auto"/>
          <w:sz w:val="32"/>
          <w:szCs w:val="32"/>
          <w:highlight w:val="none"/>
        </w:rPr>
        <w:t>、备用容量及具体备用资源清单等信息</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超时默认运行日的各时段备用能力为0</w:t>
      </w:r>
      <w:r>
        <w:rPr>
          <w:rFonts w:hint="eastAsia" w:ascii="Times New Roman" w:hAnsi="Times New Roman" w:eastAsia="仿宋_GB2312" w:cs="Times New Roman"/>
          <w:color w:val="auto"/>
          <w:sz w:val="32"/>
          <w:szCs w:val="32"/>
          <w:highlight w:val="none"/>
        </w:rPr>
        <w:t>。具体包括：</w:t>
      </w:r>
    </w:p>
    <w:p w14:paraId="58E7A43E">
      <w:pPr>
        <w:pStyle w:val="33"/>
        <w:tabs>
          <w:tab w:val="left" w:pos="6720"/>
        </w:tabs>
        <w:adjustRightInd w:val="0"/>
        <w:snapToGrid w:val="0"/>
        <w:spacing w:line="560" w:lineRule="exact"/>
        <w:ind w:firstLine="640"/>
        <w:rPr>
          <w:rFonts w:hint="default" w:ascii="Times New Roman" w:hAnsi="Times New Roman" w:eastAsia="仿宋_GB2312" w:cs="Times New Roman"/>
          <w:bCs/>
          <w:color w:val="auto"/>
          <w:sz w:val="32"/>
          <w:szCs w:val="32"/>
          <w:highlight w:val="none"/>
          <w:lang w:val="en-US" w:eastAsia="zh-CN"/>
        </w:rPr>
      </w:pP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1</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备用时段以15分钟为单元。</w:t>
      </w:r>
    </w:p>
    <w:p w14:paraId="6E076852">
      <w:pPr>
        <w:pStyle w:val="33"/>
        <w:tabs>
          <w:tab w:val="left" w:pos="6720"/>
        </w:tabs>
        <w:adjustRightInd w:val="0"/>
        <w:snapToGrid w:val="0"/>
        <w:spacing w:line="560" w:lineRule="exact"/>
        <w:ind w:firstLine="640"/>
        <w:rPr>
          <w:rFonts w:hint="default" w:ascii="Times New Roman" w:hAnsi="Times New Roman" w:eastAsia="仿宋_GB2312" w:cs="Times New Roman"/>
          <w:bCs/>
          <w:color w:val="auto"/>
          <w:sz w:val="32"/>
          <w:szCs w:val="32"/>
          <w:highlight w:val="none"/>
        </w:rPr>
      </w:pPr>
      <w:r>
        <w:rPr>
          <w:rFonts w:hint="eastAsia" w:ascii="Times New Roman" w:hAnsi="Times New Roman" w:eastAsia="仿宋_GB2312" w:cs="Times New Roman"/>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val="en-US" w:eastAsia="zh-CN"/>
        </w:rPr>
        <w:t>2）</w:t>
      </w:r>
      <w:r>
        <w:rPr>
          <w:rFonts w:ascii="Times New Roman" w:hAnsi="Times New Roman" w:eastAsia="仿宋_GB2312" w:cs="Times New Roman"/>
          <w:bCs/>
          <w:color w:val="auto"/>
          <w:sz w:val="32"/>
          <w:szCs w:val="32"/>
          <w:highlight w:val="none"/>
        </w:rPr>
        <w:t>备用容量为组合的各备用资源可调节容量之和，单位为</w:t>
      </w:r>
      <w:r>
        <w:rPr>
          <w:rFonts w:hint="eastAsia" w:ascii="Times New Roman" w:hAnsi="Times New Roman" w:eastAsia="仿宋_GB2312" w:cs="Times New Roman"/>
          <w:bCs/>
          <w:color w:val="auto"/>
          <w:sz w:val="32"/>
          <w:szCs w:val="32"/>
          <w:highlight w:val="none"/>
          <w:lang w:val="en-US" w:eastAsia="zh-CN"/>
        </w:rPr>
        <w:t>兆瓦</w:t>
      </w:r>
      <w:r>
        <w:rPr>
          <w:rFonts w:ascii="Times New Roman" w:hAnsi="Times New Roman" w:eastAsia="仿宋_GB2312" w:cs="Times New Roman"/>
          <w:bCs/>
          <w:color w:val="auto"/>
          <w:sz w:val="32"/>
          <w:szCs w:val="32"/>
          <w:highlight w:val="none"/>
        </w:rPr>
        <w:t>。</w:t>
      </w:r>
    </w:p>
    <w:p w14:paraId="0AF21949">
      <w:pPr>
        <w:pStyle w:val="33"/>
        <w:tabs>
          <w:tab w:val="left" w:pos="6720"/>
        </w:tabs>
        <w:adjustRightInd w:val="0"/>
        <w:snapToGrid w:val="0"/>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3</w:t>
      </w:r>
      <w:r>
        <w:rPr>
          <w:rFonts w:ascii="Times New Roman" w:hAnsi="Times New Roman" w:eastAsia="仿宋_GB2312" w:cs="Times New Roman"/>
          <w:bCs/>
          <w:color w:val="auto"/>
          <w:sz w:val="32"/>
          <w:szCs w:val="32"/>
          <w:highlight w:val="none"/>
        </w:rPr>
        <w:t>）资源组合清单，包括参与备用服务资源的用电户号、可调节容量及备用资源</w:t>
      </w:r>
      <w:r>
        <w:rPr>
          <w:rFonts w:hint="eastAsia" w:ascii="Times New Roman" w:hAnsi="Times New Roman" w:eastAsia="仿宋_GB2312" w:cs="Times New Roman"/>
          <w:bCs/>
          <w:color w:val="auto"/>
          <w:sz w:val="32"/>
          <w:szCs w:val="32"/>
          <w:highlight w:val="none"/>
          <w:lang w:val="en-US" w:eastAsia="zh-CN"/>
        </w:rPr>
        <w:t>各时段的有功功率可调节能力</w:t>
      </w:r>
      <w:r>
        <w:rPr>
          <w:rFonts w:ascii="Times New Roman" w:hAnsi="Times New Roman" w:eastAsia="仿宋_GB2312" w:cs="Times New Roman"/>
          <w:bCs/>
          <w:color w:val="auto"/>
          <w:sz w:val="32"/>
          <w:szCs w:val="32"/>
          <w:highlight w:val="none"/>
        </w:rPr>
        <w:t>等。</w:t>
      </w:r>
    </w:p>
    <w:p w14:paraId="524DD471">
      <w:pPr>
        <w:pStyle w:val="33"/>
        <w:tabs>
          <w:tab w:val="left" w:pos="6720"/>
        </w:tabs>
        <w:adjustRightInd w:val="0"/>
        <w:snapToGrid w:val="0"/>
        <w:spacing w:line="560" w:lineRule="exact"/>
        <w:ind w:firstLine="640"/>
        <w:rPr>
          <w:rFonts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申报的资源组合，原则上不影响用户正常生产、运行。</w:t>
      </w:r>
      <w:r>
        <w:rPr>
          <w:rFonts w:hint="eastAsia" w:ascii="Times New Roman" w:hAnsi="Times New Roman" w:eastAsia="仿宋_GB2312" w:cs="Times New Roman"/>
          <w:b w:val="0"/>
          <w:bCs/>
          <w:color w:val="auto"/>
          <w:sz w:val="32"/>
          <w:szCs w:val="32"/>
          <w:highlight w:val="none"/>
        </w:rPr>
        <w:t>其中，响应主体的</w:t>
      </w:r>
      <w:r>
        <w:rPr>
          <w:rFonts w:hint="eastAsia" w:ascii="Times New Roman" w:hAnsi="Times New Roman" w:eastAsia="仿宋_GB2312" w:cs="Times New Roman"/>
          <w:b w:val="0"/>
          <w:bCs/>
          <w:color w:val="auto"/>
          <w:sz w:val="32"/>
          <w:szCs w:val="32"/>
          <w:highlight w:val="none"/>
          <w:lang w:val="en-US" w:eastAsia="zh-CN"/>
        </w:rPr>
        <w:t>单个资源</w:t>
      </w:r>
      <w:r>
        <w:rPr>
          <w:rFonts w:hint="eastAsia" w:ascii="Times New Roman" w:hAnsi="Times New Roman" w:eastAsia="仿宋_GB2312" w:cs="Times New Roman"/>
          <w:b w:val="0"/>
          <w:bCs/>
          <w:color w:val="auto"/>
          <w:sz w:val="32"/>
          <w:szCs w:val="32"/>
          <w:highlight w:val="none"/>
        </w:rPr>
        <w:t>备用</w:t>
      </w:r>
      <w:r>
        <w:rPr>
          <w:rFonts w:hint="eastAsia" w:ascii="Times New Roman" w:hAnsi="Times New Roman" w:eastAsia="仿宋_GB2312" w:cs="Times New Roman"/>
          <w:b w:val="0"/>
          <w:bCs/>
          <w:color w:val="auto"/>
          <w:sz w:val="32"/>
          <w:szCs w:val="32"/>
          <w:highlight w:val="none"/>
          <w:lang w:val="en-US" w:eastAsia="zh-CN"/>
        </w:rPr>
        <w:t>能力不高于</w:t>
      </w:r>
      <w:r>
        <w:rPr>
          <w:rFonts w:hint="eastAsia" w:ascii="Times New Roman" w:hAnsi="Times New Roman" w:eastAsia="仿宋_GB2312" w:cs="Times New Roman"/>
          <w:b w:val="0"/>
          <w:bCs/>
          <w:color w:val="auto"/>
          <w:sz w:val="32"/>
          <w:szCs w:val="32"/>
          <w:highlight w:val="none"/>
        </w:rPr>
        <w:t>被</w:t>
      </w:r>
      <w:r>
        <w:rPr>
          <w:rFonts w:hint="eastAsia" w:ascii="Times New Roman" w:hAnsi="Times New Roman" w:eastAsia="仿宋_GB2312" w:cs="Times New Roman"/>
          <w:b w:val="0"/>
          <w:bCs/>
          <w:color w:val="auto"/>
          <w:sz w:val="32"/>
          <w:szCs w:val="32"/>
          <w:highlight w:val="none"/>
          <w:lang w:val="en-US" w:eastAsia="zh-CN"/>
        </w:rPr>
        <w:t>资源</w:t>
      </w:r>
      <w:r>
        <w:rPr>
          <w:rFonts w:hint="eastAsia" w:ascii="Times New Roman" w:hAnsi="Times New Roman" w:eastAsia="仿宋_GB2312" w:cs="Times New Roman"/>
          <w:b w:val="0"/>
          <w:bCs/>
          <w:color w:val="auto"/>
          <w:sz w:val="32"/>
          <w:szCs w:val="32"/>
          <w:highlight w:val="none"/>
        </w:rPr>
        <w:t>抽测</w:t>
      </w:r>
      <w:r>
        <w:rPr>
          <w:rFonts w:hint="eastAsia" w:ascii="Times New Roman" w:hAnsi="Times New Roman" w:eastAsia="仿宋_GB2312" w:cs="Times New Roman"/>
          <w:b w:val="0"/>
          <w:bCs/>
          <w:color w:val="auto"/>
          <w:sz w:val="32"/>
          <w:szCs w:val="32"/>
          <w:highlight w:val="none"/>
          <w:lang w:val="en-US" w:eastAsia="zh-CN"/>
        </w:rPr>
        <w:t>的实际调节量，当资源未被抽测时，备用能力不高于最大用电负荷的比例K</w:t>
      </w:r>
      <w:r>
        <w:rPr>
          <w:rFonts w:hint="eastAsia" w:ascii="Times New Roman" w:hAnsi="Times New Roman" w:eastAsia="仿宋_GB2312" w:cs="Times New Roman"/>
          <w:b w:val="0"/>
          <w:bCs/>
          <w:color w:val="auto"/>
          <w:sz w:val="32"/>
          <w:szCs w:val="32"/>
          <w:highlight w:val="none"/>
          <w:vertAlign w:val="subscript"/>
          <w:lang w:val="en-US" w:eastAsia="zh-CN"/>
        </w:rPr>
        <w:t>X</w:t>
      </w:r>
      <w:r>
        <w:rPr>
          <w:rFonts w:hint="eastAsia" w:ascii="Times New Roman" w:hAnsi="Times New Roman" w:eastAsia="仿宋_GB2312" w:cs="Times New Roman"/>
          <w:b w:val="0"/>
          <w:bCs/>
          <w:color w:val="auto"/>
          <w:sz w:val="32"/>
          <w:szCs w:val="32"/>
          <w:highlight w:val="none"/>
          <w:vertAlign w:val="baseline"/>
          <w:lang w:val="en-US" w:eastAsia="zh-CN"/>
        </w:rPr>
        <w:t>（附录11）</w:t>
      </w:r>
      <w:r>
        <w:rPr>
          <w:rFonts w:hint="eastAsia" w:ascii="Times New Roman" w:hAnsi="Times New Roman" w:eastAsia="仿宋_GB2312" w:cs="Times New Roman"/>
          <w:b w:val="0"/>
          <w:bCs/>
          <w:color w:val="auto"/>
          <w:sz w:val="32"/>
          <w:szCs w:val="32"/>
          <w:highlight w:val="none"/>
          <w:lang w:val="en-US" w:eastAsia="zh-CN"/>
        </w:rPr>
        <w:t>。</w:t>
      </w:r>
    </w:p>
    <w:p w14:paraId="1C5555F0">
      <w:pPr>
        <w:pStyle w:val="33"/>
        <w:numPr>
          <w:ilvl w:val="0"/>
          <w:numId w:val="5"/>
        </w:numPr>
        <w:tabs>
          <w:tab w:val="left" w:pos="6720"/>
        </w:tabs>
        <w:spacing w:line="560" w:lineRule="exact"/>
        <w:ind w:firstLine="732" w:firstLineChars="228"/>
        <w:rPr>
          <w:rFonts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无功调节</w:t>
      </w:r>
      <w:r>
        <w:rPr>
          <w:rFonts w:hint="eastAsia" w:ascii="Times New Roman" w:hAnsi="Times New Roman" w:eastAsia="仿宋_GB2312" w:cs="Times New Roman"/>
          <w:b/>
          <w:color w:val="auto"/>
          <w:sz w:val="32"/>
          <w:szCs w:val="32"/>
          <w:highlight w:val="none"/>
          <w:lang w:val="en-US" w:eastAsia="zh-CN"/>
        </w:rPr>
        <w:t xml:space="preserve"> </w:t>
      </w:r>
      <w:r>
        <w:rPr>
          <w:rFonts w:hint="eastAsia" w:ascii="Times New Roman" w:hAnsi="Times New Roman" w:eastAsia="仿宋_GB2312" w:cs="Times New Roman"/>
          <w:bCs/>
          <w:color w:val="auto"/>
          <w:sz w:val="32"/>
          <w:szCs w:val="32"/>
          <w:highlight w:val="none"/>
        </w:rPr>
        <w:t>无功调节需求申报。</w:t>
      </w:r>
      <w:r>
        <w:rPr>
          <w:rFonts w:ascii="Times New Roman" w:hAnsi="Times New Roman" w:eastAsia="仿宋_GB2312" w:cs="Times New Roman"/>
          <w:bCs/>
          <w:color w:val="auto"/>
          <w:sz w:val="32"/>
          <w:szCs w:val="32"/>
          <w:highlight w:val="none"/>
        </w:rPr>
        <w:t>响应主体</w:t>
      </w:r>
      <w:r>
        <w:rPr>
          <w:rFonts w:hint="eastAsia" w:ascii="Times New Roman" w:hAnsi="Times New Roman" w:eastAsia="仿宋_GB2312" w:cs="Times New Roman"/>
          <w:bCs/>
          <w:color w:val="auto"/>
          <w:sz w:val="32"/>
          <w:szCs w:val="32"/>
          <w:highlight w:val="none"/>
          <w:lang w:val="en-US" w:eastAsia="zh-CN"/>
        </w:rPr>
        <w:t>于截止申报时间前</w:t>
      </w:r>
      <w:r>
        <w:rPr>
          <w:rFonts w:hint="eastAsia" w:ascii="Times New Roman" w:hAnsi="Times New Roman" w:eastAsia="仿宋_GB2312" w:cs="Times New Roman"/>
          <w:bCs/>
          <w:color w:val="auto"/>
          <w:sz w:val="32"/>
          <w:szCs w:val="32"/>
          <w:highlight w:val="none"/>
        </w:rPr>
        <w:t>，向管理中心</w:t>
      </w:r>
      <w:r>
        <w:rPr>
          <w:rFonts w:ascii="Times New Roman" w:hAnsi="Times New Roman" w:eastAsia="仿宋_GB2312" w:cs="Times New Roman"/>
          <w:color w:val="auto"/>
          <w:sz w:val="32"/>
          <w:szCs w:val="32"/>
          <w:highlight w:val="none"/>
        </w:rPr>
        <w:t>申报</w:t>
      </w:r>
      <w:r>
        <w:rPr>
          <w:rFonts w:hint="eastAsia" w:ascii="Times New Roman" w:hAnsi="Times New Roman" w:eastAsia="仿宋_GB2312" w:cs="Times New Roman"/>
          <w:bCs/>
          <w:color w:val="auto"/>
          <w:sz w:val="32"/>
          <w:szCs w:val="32"/>
          <w:highlight w:val="none"/>
        </w:rPr>
        <w:t>无功调节</w:t>
      </w:r>
      <w:r>
        <w:rPr>
          <w:rFonts w:hint="eastAsia" w:ascii="Times New Roman" w:hAnsi="Times New Roman" w:eastAsia="仿宋_GB2312" w:cs="Times New Roman"/>
          <w:bCs/>
          <w:color w:val="auto"/>
          <w:sz w:val="32"/>
          <w:szCs w:val="32"/>
          <w:highlight w:val="none"/>
          <w:lang w:val="en-US" w:eastAsia="zh-CN"/>
        </w:rPr>
        <w:t>响应</w:t>
      </w:r>
      <w:r>
        <w:rPr>
          <w:rFonts w:ascii="Times New Roman" w:hAnsi="Times New Roman" w:eastAsia="仿宋_GB2312" w:cs="Times New Roman"/>
          <w:color w:val="auto"/>
          <w:sz w:val="32"/>
          <w:szCs w:val="32"/>
          <w:highlight w:val="none"/>
        </w:rPr>
        <w:t>容量、响应</w:t>
      </w:r>
      <w:r>
        <w:rPr>
          <w:rFonts w:hint="eastAsia" w:ascii="Times New Roman" w:hAnsi="Times New Roman" w:eastAsia="仿宋_GB2312" w:cs="Times New Roman"/>
          <w:color w:val="auto"/>
          <w:sz w:val="32"/>
          <w:szCs w:val="32"/>
          <w:highlight w:val="none"/>
        </w:rPr>
        <w:t>时段</w:t>
      </w:r>
      <w:r>
        <w:rPr>
          <w:rFonts w:hint="eastAsia" w:ascii="Times New Roman" w:hAnsi="Times New Roman" w:eastAsia="仿宋_GB2312" w:cs="Times New Roman"/>
          <w:color w:val="auto"/>
          <w:sz w:val="32"/>
          <w:szCs w:val="32"/>
          <w:highlight w:val="none"/>
          <w:lang w:val="en-US" w:eastAsia="zh-CN"/>
        </w:rPr>
        <w:t>及组合清单</w:t>
      </w:r>
      <w:r>
        <w:rPr>
          <w:rFonts w:ascii="Times New Roman" w:hAnsi="Times New Roman" w:eastAsia="仿宋_GB2312" w:cs="Times New Roman"/>
          <w:color w:val="auto"/>
          <w:sz w:val="32"/>
          <w:szCs w:val="32"/>
          <w:highlight w:val="none"/>
        </w:rPr>
        <w:t>等信息</w:t>
      </w:r>
      <w:r>
        <w:rPr>
          <w:rFonts w:ascii="Times New Roman" w:hAnsi="Times New Roman" w:eastAsia="仿宋_GB2312" w:cs="Times New Roman"/>
          <w:bCs/>
          <w:color w:val="auto"/>
          <w:sz w:val="32"/>
          <w:szCs w:val="32"/>
          <w:highlight w:val="none"/>
        </w:rPr>
        <w:t>。</w:t>
      </w:r>
    </w:p>
    <w:p w14:paraId="26CD565A">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rPr>
        <w:t>响应执行</w:t>
      </w:r>
    </w:p>
    <w:p w14:paraId="6592F6EA">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lang w:eastAsia="zh-CN"/>
        </w:rPr>
        <w:t>有功响应</w:t>
      </w:r>
    </w:p>
    <w:p w14:paraId="5838F278">
      <w:pPr>
        <w:pStyle w:val="33"/>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（一）</w:t>
      </w:r>
      <w:r>
        <w:rPr>
          <w:rFonts w:hint="eastAsia" w:ascii="Times New Roman" w:hAnsi="Times New Roman" w:eastAsia="仿宋_GB2312" w:cs="Times New Roman"/>
          <w:bCs/>
          <w:color w:val="auto"/>
          <w:sz w:val="32"/>
          <w:szCs w:val="32"/>
          <w:highlight w:val="none"/>
          <w:lang w:val="en-US" w:eastAsia="zh-CN"/>
        </w:rPr>
        <w:t>日前</w:t>
      </w:r>
      <w:r>
        <w:rPr>
          <w:rFonts w:hint="eastAsia" w:ascii="Times New Roman" w:hAnsi="Times New Roman" w:eastAsia="仿宋_GB2312" w:cs="Times New Roman"/>
          <w:bCs/>
          <w:color w:val="auto"/>
          <w:sz w:val="32"/>
          <w:szCs w:val="32"/>
          <w:highlight w:val="none"/>
          <w:lang w:eastAsia="zh-CN"/>
        </w:rPr>
        <w:t>有功响应</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按照</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价格优先、</w:t>
      </w:r>
      <w:r>
        <w:rPr>
          <w:rFonts w:ascii="Times New Roman" w:hAnsi="Times New Roman" w:eastAsia="仿宋_GB2312" w:cs="Times New Roman"/>
          <w:bCs/>
          <w:color w:val="auto"/>
          <w:sz w:val="32"/>
          <w:szCs w:val="32"/>
          <w:highlight w:val="none"/>
        </w:rPr>
        <w:t>容量优先，时序优先”</w:t>
      </w:r>
      <w:r>
        <w:rPr>
          <w:rFonts w:hint="default" w:ascii="Times New Roman" w:hAnsi="Times New Roman" w:eastAsia="仿宋_GB2312" w:cs="Times New Roman"/>
          <w:bCs/>
          <w:color w:val="auto"/>
          <w:sz w:val="32"/>
          <w:szCs w:val="32"/>
          <w:highlight w:val="none"/>
        </w:rPr>
        <w:t>原则</w:t>
      </w:r>
      <w:r>
        <w:rPr>
          <w:rFonts w:hint="eastAsia" w:ascii="Times New Roman" w:hAnsi="Times New Roman" w:eastAsia="仿宋_GB2312" w:cs="Times New Roman"/>
          <w:bCs/>
          <w:color w:val="auto"/>
          <w:sz w:val="32"/>
          <w:szCs w:val="32"/>
          <w:highlight w:val="none"/>
          <w:lang w:eastAsia="zh-CN"/>
        </w:rPr>
        <w:t>，</w:t>
      </w:r>
      <w:r>
        <w:rPr>
          <w:rFonts w:ascii="Times New Roman" w:hAnsi="Times New Roman" w:eastAsia="仿宋_GB2312" w:cs="Times New Roman"/>
          <w:bCs/>
          <w:color w:val="auto"/>
          <w:sz w:val="32"/>
          <w:szCs w:val="32"/>
          <w:highlight w:val="none"/>
        </w:rPr>
        <w:t>按照</w:t>
      </w:r>
      <w:r>
        <w:rPr>
          <w:rFonts w:hint="eastAsia" w:ascii="Times New Roman" w:hAnsi="Times New Roman" w:eastAsia="仿宋_GB2312" w:cs="Times New Roman"/>
          <w:bCs/>
          <w:color w:val="auto"/>
          <w:sz w:val="32"/>
          <w:szCs w:val="32"/>
          <w:highlight w:val="none"/>
          <w:lang w:val="en-US" w:eastAsia="zh-CN"/>
        </w:rPr>
        <w:t>不低于需求容量的120%在需求发布日（D-1日）确定日前有功响应资源</w:t>
      </w:r>
      <w:r>
        <w:rPr>
          <w:rFonts w:hint="default" w:ascii="Times New Roman" w:hAnsi="Times New Roman" w:eastAsia="仿宋_GB2312" w:cs="Times New Roman"/>
          <w:bCs/>
          <w:color w:val="auto"/>
          <w:sz w:val="32"/>
          <w:szCs w:val="32"/>
          <w:highlight w:val="none"/>
        </w:rPr>
        <w:t>，并</w:t>
      </w:r>
      <w:r>
        <w:rPr>
          <w:rFonts w:hint="eastAsia" w:ascii="Times New Roman" w:hAnsi="Times New Roman" w:eastAsia="仿宋_GB2312" w:cs="Times New Roman"/>
          <w:bCs/>
          <w:color w:val="auto"/>
          <w:sz w:val="32"/>
          <w:szCs w:val="32"/>
          <w:highlight w:val="none"/>
          <w:lang w:val="en-US" w:eastAsia="zh-CN"/>
        </w:rPr>
        <w:t>向响应主体发布调节容量、调节时段和</w:t>
      </w:r>
      <w:r>
        <w:rPr>
          <w:rFonts w:hint="default" w:ascii="Times New Roman" w:hAnsi="Times New Roman" w:eastAsia="仿宋_GB2312" w:cs="Times New Roman"/>
          <w:bCs/>
          <w:color w:val="auto"/>
          <w:sz w:val="32"/>
          <w:szCs w:val="32"/>
          <w:highlight w:val="none"/>
        </w:rPr>
        <w:t>补贴价格</w:t>
      </w:r>
      <w:r>
        <w:rPr>
          <w:rFonts w:hint="eastAsia" w:ascii="Times New Roman" w:hAnsi="Times New Roman" w:eastAsia="仿宋_GB2312" w:cs="Times New Roman"/>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val="en-US" w:eastAsia="zh-CN"/>
        </w:rPr>
        <w:t>前期阶段按照固定价运行，后续根据实际情况开展报价</w:t>
      </w:r>
      <w:r>
        <w:rPr>
          <w:rFonts w:hint="default" w:ascii="Times New Roman" w:hAnsi="Times New Roman" w:eastAsia="仿宋_GB2312" w:cs="Times New Roman"/>
          <w:bCs/>
          <w:color w:val="auto"/>
          <w:sz w:val="32"/>
          <w:szCs w:val="32"/>
          <w:highlight w:val="none"/>
        </w:rPr>
        <w:t>。</w:t>
      </w:r>
    </w:p>
    <w:p w14:paraId="30593E76">
      <w:pPr>
        <w:pStyle w:val="33"/>
        <w:tabs>
          <w:tab w:val="left" w:pos="6720"/>
        </w:tabs>
        <w:spacing w:line="560" w:lineRule="exact"/>
        <w:ind w:firstLine="640"/>
        <w:rPr>
          <w:rFonts w:hint="eastAsia" w:ascii="Times New Roman" w:hAnsi="Times New Roman" w:eastAsia="仿宋_GB2312" w:cs="Times New Roman"/>
          <w:bCs/>
          <w:color w:val="auto"/>
          <w:sz w:val="32"/>
          <w:szCs w:val="32"/>
          <w:highlight w:val="none"/>
          <w:lang w:eastAsia="zh-CN"/>
        </w:rPr>
      </w:pPr>
      <w:r>
        <w:rPr>
          <w:rFonts w:hint="eastAsia" w:ascii="Times New Roman" w:hAnsi="Times New Roman" w:eastAsia="仿宋_GB2312" w:cs="Times New Roman"/>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val="en-US" w:eastAsia="zh-CN"/>
        </w:rPr>
        <w:t>二</w:t>
      </w:r>
      <w:r>
        <w:rPr>
          <w:rFonts w:hint="eastAsia" w:ascii="Times New Roman" w:hAnsi="Times New Roman" w:eastAsia="仿宋_GB2312" w:cs="Times New Roman"/>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val="en-US" w:eastAsia="zh-CN"/>
        </w:rPr>
        <w:t>日内</w:t>
      </w:r>
      <w:r>
        <w:rPr>
          <w:rFonts w:hint="eastAsia" w:ascii="Times New Roman" w:hAnsi="Times New Roman" w:eastAsia="仿宋_GB2312" w:cs="Times New Roman"/>
          <w:bCs/>
          <w:color w:val="auto"/>
          <w:sz w:val="32"/>
          <w:szCs w:val="32"/>
          <w:highlight w:val="none"/>
          <w:lang w:eastAsia="zh-CN"/>
        </w:rPr>
        <w:t>有功响应</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按照</w:t>
      </w:r>
      <w:r>
        <w:rPr>
          <w:rFonts w:ascii="Times New Roman" w:hAnsi="Times New Roman" w:eastAsia="仿宋_GB2312" w:cs="Times New Roman"/>
          <w:bCs/>
          <w:color w:val="auto"/>
          <w:sz w:val="32"/>
          <w:szCs w:val="32"/>
          <w:highlight w:val="none"/>
        </w:rPr>
        <w:t>“容量优先，时序优先”</w:t>
      </w:r>
      <w:r>
        <w:rPr>
          <w:rFonts w:hint="default" w:ascii="Times New Roman" w:hAnsi="Times New Roman" w:eastAsia="仿宋_GB2312" w:cs="Times New Roman"/>
          <w:bCs/>
          <w:color w:val="auto"/>
          <w:sz w:val="32"/>
          <w:szCs w:val="32"/>
          <w:highlight w:val="none"/>
        </w:rPr>
        <w:t>原则</w:t>
      </w:r>
      <w:r>
        <w:rPr>
          <w:rFonts w:ascii="Times New Roman" w:hAnsi="Times New Roman" w:eastAsia="仿宋_GB2312" w:cs="Times New Roman"/>
          <w:bCs/>
          <w:color w:val="auto"/>
          <w:sz w:val="32"/>
          <w:szCs w:val="32"/>
          <w:highlight w:val="none"/>
        </w:rPr>
        <w:t>，按照</w:t>
      </w:r>
      <w:r>
        <w:rPr>
          <w:rFonts w:hint="eastAsia" w:ascii="Times New Roman" w:hAnsi="Times New Roman" w:eastAsia="仿宋_GB2312" w:cs="Times New Roman"/>
          <w:bCs/>
          <w:color w:val="auto"/>
          <w:sz w:val="32"/>
          <w:szCs w:val="32"/>
          <w:highlight w:val="none"/>
          <w:lang w:val="en-US" w:eastAsia="zh-CN"/>
        </w:rPr>
        <w:t>不低于需求容量的120%在调节</w:t>
      </w:r>
      <w:r>
        <w:rPr>
          <w:rFonts w:ascii="Times New Roman" w:hAnsi="Times New Roman" w:eastAsia="仿宋_GB2312" w:cs="Times New Roman"/>
          <w:bCs/>
          <w:color w:val="auto"/>
          <w:sz w:val="32"/>
          <w:szCs w:val="32"/>
          <w:highlight w:val="none"/>
        </w:rPr>
        <w:t>开始前30分钟</w:t>
      </w:r>
      <w:r>
        <w:rPr>
          <w:rFonts w:hint="eastAsia" w:ascii="Times New Roman" w:hAnsi="Times New Roman" w:eastAsia="仿宋_GB2312" w:cs="Times New Roman"/>
          <w:bCs/>
          <w:color w:val="auto"/>
          <w:sz w:val="32"/>
          <w:szCs w:val="32"/>
          <w:highlight w:val="none"/>
          <w:lang w:val="en-US" w:eastAsia="zh-CN"/>
        </w:rPr>
        <w:t>确定调节资源</w:t>
      </w:r>
      <w:r>
        <w:rPr>
          <w:rFonts w:hint="default" w:ascii="Times New Roman" w:hAnsi="Times New Roman" w:eastAsia="仿宋_GB2312" w:cs="Times New Roman"/>
          <w:bCs/>
          <w:color w:val="auto"/>
          <w:sz w:val="32"/>
          <w:szCs w:val="32"/>
          <w:highlight w:val="none"/>
        </w:rPr>
        <w:t>，并</w:t>
      </w:r>
      <w:r>
        <w:rPr>
          <w:rFonts w:hint="eastAsia" w:ascii="Times New Roman" w:hAnsi="Times New Roman" w:eastAsia="仿宋_GB2312" w:cs="Times New Roman"/>
          <w:bCs/>
          <w:color w:val="auto"/>
          <w:sz w:val="32"/>
          <w:szCs w:val="32"/>
          <w:highlight w:val="none"/>
          <w:lang w:val="en-US" w:eastAsia="zh-CN"/>
        </w:rPr>
        <w:t>向响应主体发布日内的调节容量、调节时段</w:t>
      </w:r>
      <w:r>
        <w:rPr>
          <w:rFonts w:hint="default" w:ascii="Times New Roman" w:hAnsi="Times New Roman" w:eastAsia="仿宋_GB2312" w:cs="Times New Roman"/>
          <w:bCs/>
          <w:color w:val="auto"/>
          <w:sz w:val="32"/>
          <w:szCs w:val="32"/>
          <w:highlight w:val="none"/>
        </w:rPr>
        <w:t>。</w:t>
      </w:r>
    </w:p>
    <w:p w14:paraId="3963A2A5">
      <w:pPr>
        <w:pStyle w:val="33"/>
        <w:numPr>
          <w:ilvl w:val="0"/>
          <w:numId w:val="0"/>
        </w:numPr>
        <w:tabs>
          <w:tab w:val="left" w:pos="6720"/>
        </w:tabs>
        <w:spacing w:line="560" w:lineRule="exact"/>
        <w:ind w:firstLine="640"/>
        <w:rPr>
          <w:rFonts w:ascii="Times New Roman" w:hAnsi="Times New Roman" w:eastAsia="仿宋_GB2312" w:cs="Times New Roman"/>
          <w:bCs/>
          <w:color w:val="auto"/>
          <w:sz w:val="32"/>
          <w:szCs w:val="32"/>
          <w:highlight w:val="none"/>
        </w:rPr>
      </w:pPr>
      <w:r>
        <w:rPr>
          <w:rFonts w:hint="eastAsia" w:ascii="Times New Roman" w:hAnsi="Times New Roman" w:eastAsia="仿宋_GB2312" w:cs="Times New Roman"/>
          <w:bCs/>
          <w:color w:val="auto"/>
          <w:kern w:val="2"/>
          <w:sz w:val="32"/>
          <w:szCs w:val="32"/>
          <w:highlight w:val="none"/>
          <w:lang w:val="en-US" w:eastAsia="zh-CN" w:bidi="ar-SA"/>
        </w:rPr>
        <w:t>（三）日前和日内</w:t>
      </w:r>
      <w:r>
        <w:rPr>
          <w:rFonts w:hint="eastAsia" w:ascii="Times New Roman" w:hAnsi="Times New Roman" w:eastAsia="仿宋_GB2312" w:cs="Times New Roman"/>
          <w:bCs/>
          <w:color w:val="auto"/>
          <w:sz w:val="32"/>
          <w:szCs w:val="32"/>
          <w:highlight w:val="none"/>
          <w:lang w:eastAsia="zh-CN"/>
        </w:rPr>
        <w:t>有功响应</w:t>
      </w:r>
      <w:r>
        <w:rPr>
          <w:rFonts w:hint="default" w:ascii="Times New Roman" w:hAnsi="Times New Roman" w:eastAsia="仿宋_GB2312" w:cs="Times New Roman"/>
          <w:bCs/>
          <w:color w:val="auto"/>
          <w:sz w:val="32"/>
          <w:szCs w:val="32"/>
          <w:highlight w:val="none"/>
        </w:rPr>
        <w:t>执行</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bCs/>
          <w:color w:val="auto"/>
          <w:sz w:val="32"/>
          <w:szCs w:val="32"/>
          <w:highlight w:val="none"/>
        </w:rPr>
        <w:t>须</w:t>
      </w:r>
      <w:r>
        <w:rPr>
          <w:rFonts w:hint="eastAsia" w:ascii="Times New Roman" w:hAnsi="Times New Roman" w:eastAsia="仿宋_GB2312" w:cs="Times New Roman"/>
          <w:bCs/>
          <w:color w:val="auto"/>
          <w:sz w:val="32"/>
          <w:szCs w:val="32"/>
          <w:highlight w:val="none"/>
          <w:lang w:val="en-US" w:eastAsia="zh-CN"/>
        </w:rPr>
        <w:t>于响应时段内完成</w:t>
      </w:r>
      <w:r>
        <w:rPr>
          <w:rFonts w:hint="default" w:ascii="Times New Roman" w:hAnsi="Times New Roman" w:eastAsia="仿宋_GB2312" w:cs="Times New Roman"/>
          <w:bCs/>
          <w:color w:val="auto"/>
          <w:sz w:val="32"/>
          <w:szCs w:val="32"/>
          <w:highlight w:val="none"/>
        </w:rPr>
        <w:t>负荷调整。执行情况纳入管理中心实时动态监测。对于执行不到位，在预判可能影响供电安全的情况下，管理中心应</w:t>
      </w:r>
      <w:r>
        <w:rPr>
          <w:rFonts w:hint="eastAsia" w:ascii="Times New Roman" w:hAnsi="Times New Roman" w:eastAsia="仿宋_GB2312" w:cs="Times New Roman"/>
          <w:bCs/>
          <w:color w:val="auto"/>
          <w:sz w:val="32"/>
          <w:szCs w:val="32"/>
          <w:highlight w:val="none"/>
          <w:lang w:val="en-US" w:eastAsia="zh-CN"/>
        </w:rPr>
        <w:t>采用负荷控制方式</w:t>
      </w:r>
      <w:r>
        <w:rPr>
          <w:rFonts w:hint="default" w:ascii="Times New Roman" w:hAnsi="Times New Roman" w:eastAsia="仿宋_GB2312" w:cs="Times New Roman"/>
          <w:bCs/>
          <w:color w:val="auto"/>
          <w:sz w:val="32"/>
          <w:szCs w:val="32"/>
          <w:highlight w:val="none"/>
        </w:rPr>
        <w:t>督促执行到位</w:t>
      </w:r>
      <w:r>
        <w:rPr>
          <w:rFonts w:hint="eastAsia" w:ascii="Times New Roman" w:hAnsi="Times New Roman" w:eastAsia="仿宋_GB2312" w:cs="Times New Roman"/>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val="en-US" w:eastAsia="zh-CN"/>
        </w:rPr>
        <w:t>由此造成的影响由响应主体承担</w:t>
      </w:r>
      <w:r>
        <w:rPr>
          <w:rFonts w:hint="default" w:ascii="Times New Roman" w:hAnsi="Times New Roman" w:eastAsia="仿宋_GB2312" w:cs="Times New Roman"/>
          <w:bCs/>
          <w:color w:val="auto"/>
          <w:sz w:val="32"/>
          <w:szCs w:val="32"/>
          <w:highlight w:val="none"/>
        </w:rPr>
        <w:t>。</w:t>
      </w:r>
    </w:p>
    <w:p w14:paraId="4DE7D9DF">
      <w:pPr>
        <w:pStyle w:val="33"/>
        <w:numPr>
          <w:ilvl w:val="0"/>
          <w:numId w:val="0"/>
        </w:numPr>
        <w:tabs>
          <w:tab w:val="left" w:pos="6720"/>
        </w:tabs>
        <w:spacing w:line="560" w:lineRule="exact"/>
        <w:ind w:firstLine="640"/>
        <w:rPr>
          <w:rFonts w:hint="default"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kern w:val="2"/>
          <w:sz w:val="32"/>
          <w:szCs w:val="32"/>
          <w:highlight w:val="none"/>
          <w:lang w:val="en-US" w:eastAsia="zh-CN" w:bidi="ar-SA"/>
        </w:rPr>
        <w:t>（四）实时</w:t>
      </w:r>
      <w:r>
        <w:rPr>
          <w:rFonts w:hint="eastAsia" w:ascii="Times New Roman" w:hAnsi="Times New Roman" w:eastAsia="仿宋_GB2312" w:cs="Times New Roman"/>
          <w:bCs/>
          <w:color w:val="auto"/>
          <w:sz w:val="32"/>
          <w:szCs w:val="32"/>
          <w:highlight w:val="none"/>
          <w:lang w:eastAsia="zh-CN"/>
        </w:rPr>
        <w:t>有功响应</w:t>
      </w:r>
      <w:r>
        <w:rPr>
          <w:rFonts w:hint="default" w:ascii="Times New Roman" w:hAnsi="Times New Roman" w:eastAsia="仿宋_GB2312" w:cs="Times New Roman"/>
          <w:bCs/>
          <w:color w:val="auto"/>
          <w:sz w:val="32"/>
          <w:szCs w:val="32"/>
          <w:highlight w:val="none"/>
        </w:rPr>
        <w:t>执行</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结合电网运行情况，由管理中心向虚拟电厂运行商技术支持系统发布实时调用需求，虚拟电厂运行商须在接收调用需求的5分钟内完成功率调整。</w:t>
      </w:r>
    </w:p>
    <w:p w14:paraId="2D61B7EE">
      <w:pPr>
        <w:pStyle w:val="33"/>
        <w:numPr>
          <w:ilvl w:val="0"/>
          <w:numId w:val="0"/>
        </w:numPr>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其中，</w:t>
      </w:r>
      <w:r>
        <w:rPr>
          <w:rFonts w:hint="eastAsia" w:ascii="Times New Roman" w:hAnsi="Times New Roman" w:eastAsia="仿宋_GB2312" w:cs="Times New Roman"/>
          <w:bCs/>
          <w:color w:val="auto"/>
          <w:sz w:val="32"/>
          <w:szCs w:val="32"/>
          <w:highlight w:val="none"/>
          <w:lang w:val="en-US" w:eastAsia="zh-CN"/>
        </w:rPr>
        <w:t>已确定参与</w:t>
      </w:r>
      <w:r>
        <w:rPr>
          <w:rFonts w:hint="default" w:ascii="Times New Roman" w:hAnsi="Times New Roman" w:eastAsia="仿宋_GB2312" w:cs="Times New Roman"/>
          <w:bCs/>
          <w:color w:val="auto"/>
          <w:sz w:val="32"/>
          <w:szCs w:val="32"/>
          <w:highlight w:val="none"/>
        </w:rPr>
        <w:t>日前</w:t>
      </w:r>
      <w:r>
        <w:rPr>
          <w:rFonts w:hint="eastAsia" w:ascii="Times New Roman" w:hAnsi="Times New Roman" w:eastAsia="仿宋_GB2312" w:cs="Times New Roman"/>
          <w:bCs/>
          <w:color w:val="auto"/>
          <w:sz w:val="32"/>
          <w:szCs w:val="32"/>
          <w:highlight w:val="none"/>
          <w:lang w:eastAsia="zh-CN"/>
        </w:rPr>
        <w:t>有功响应</w:t>
      </w:r>
      <w:r>
        <w:rPr>
          <w:rFonts w:hint="default" w:ascii="Times New Roman" w:hAnsi="Times New Roman" w:eastAsia="仿宋_GB2312" w:cs="Times New Roman"/>
          <w:bCs/>
          <w:color w:val="auto"/>
          <w:sz w:val="32"/>
          <w:szCs w:val="32"/>
          <w:highlight w:val="none"/>
        </w:rPr>
        <w:t>的</w:t>
      </w:r>
      <w:r>
        <w:rPr>
          <w:rFonts w:hint="eastAsia" w:ascii="Times New Roman" w:hAnsi="Times New Roman" w:eastAsia="仿宋_GB2312" w:cs="Times New Roman"/>
          <w:bCs/>
          <w:color w:val="auto"/>
          <w:sz w:val="32"/>
          <w:szCs w:val="32"/>
          <w:highlight w:val="none"/>
          <w:lang w:val="en-US" w:eastAsia="zh-CN"/>
        </w:rPr>
        <w:t>用户</w:t>
      </w:r>
      <w:r>
        <w:rPr>
          <w:rFonts w:hint="default" w:ascii="Times New Roman" w:hAnsi="Times New Roman" w:eastAsia="仿宋_GB2312" w:cs="Times New Roman"/>
          <w:bCs/>
          <w:color w:val="auto"/>
          <w:sz w:val="32"/>
          <w:szCs w:val="32"/>
          <w:highlight w:val="none"/>
        </w:rPr>
        <w:t>在同一时段</w:t>
      </w:r>
      <w:r>
        <w:rPr>
          <w:rFonts w:hint="eastAsia" w:ascii="Times New Roman" w:hAnsi="Times New Roman" w:eastAsia="仿宋_GB2312" w:cs="Times New Roman"/>
          <w:bCs/>
          <w:color w:val="auto"/>
          <w:sz w:val="32"/>
          <w:szCs w:val="32"/>
          <w:highlight w:val="none"/>
          <w:lang w:val="en-US" w:eastAsia="zh-CN"/>
        </w:rPr>
        <w:t>不能</w:t>
      </w:r>
      <w:r>
        <w:rPr>
          <w:rFonts w:ascii="Times New Roman" w:hAnsi="Times New Roman" w:eastAsia="仿宋_GB2312" w:cs="Times New Roman"/>
          <w:bCs/>
          <w:color w:val="auto"/>
          <w:sz w:val="32"/>
          <w:szCs w:val="32"/>
          <w:highlight w:val="none"/>
        </w:rPr>
        <w:t>参</w:t>
      </w:r>
      <w:r>
        <w:rPr>
          <w:rFonts w:hint="default" w:ascii="Times New Roman" w:hAnsi="Times New Roman" w:eastAsia="仿宋_GB2312" w:cs="Times New Roman"/>
          <w:bCs/>
          <w:color w:val="auto"/>
          <w:sz w:val="32"/>
          <w:szCs w:val="32"/>
          <w:highlight w:val="none"/>
        </w:rPr>
        <w:t>与</w:t>
      </w:r>
      <w:r>
        <w:rPr>
          <w:rFonts w:hint="eastAsia" w:ascii="Times New Roman" w:hAnsi="Times New Roman" w:eastAsia="仿宋_GB2312" w:cs="Times New Roman"/>
          <w:bCs/>
          <w:color w:val="auto"/>
          <w:sz w:val="32"/>
          <w:szCs w:val="32"/>
          <w:highlight w:val="none"/>
          <w:lang w:val="en-US" w:eastAsia="zh-CN"/>
        </w:rPr>
        <w:t>日内和实时有功响应，已确定参与日内有功响应的用户在同一时段不能参与</w:t>
      </w:r>
      <w:r>
        <w:rPr>
          <w:rFonts w:hint="default" w:ascii="Times New Roman" w:hAnsi="Times New Roman" w:eastAsia="仿宋_GB2312" w:cs="Times New Roman"/>
          <w:bCs/>
          <w:color w:val="auto"/>
          <w:sz w:val="32"/>
          <w:szCs w:val="32"/>
          <w:highlight w:val="none"/>
        </w:rPr>
        <w:t>实时</w:t>
      </w:r>
      <w:r>
        <w:rPr>
          <w:rFonts w:hint="eastAsia" w:ascii="Times New Roman" w:hAnsi="Times New Roman" w:eastAsia="仿宋_GB2312" w:cs="Times New Roman"/>
          <w:bCs/>
          <w:color w:val="auto"/>
          <w:sz w:val="32"/>
          <w:szCs w:val="32"/>
          <w:highlight w:val="none"/>
          <w:lang w:eastAsia="zh-CN"/>
        </w:rPr>
        <w:t>有功响应</w:t>
      </w:r>
      <w:r>
        <w:rPr>
          <w:rFonts w:ascii="Times New Roman" w:hAnsi="Times New Roman" w:eastAsia="仿宋_GB2312" w:cs="Times New Roman"/>
          <w:bCs/>
          <w:color w:val="auto"/>
          <w:sz w:val="32"/>
          <w:szCs w:val="32"/>
          <w:highlight w:val="none"/>
        </w:rPr>
        <w:t>。</w:t>
      </w:r>
    </w:p>
    <w:p w14:paraId="3E8E3C16">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备用服务</w:t>
      </w:r>
    </w:p>
    <w:p w14:paraId="0D635063">
      <w:pPr>
        <w:pStyle w:val="33"/>
        <w:numPr>
          <w:ilvl w:val="0"/>
          <w:numId w:val="8"/>
        </w:numPr>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备用</w:t>
      </w:r>
      <w:r>
        <w:rPr>
          <w:rFonts w:hint="eastAsia" w:ascii="Times New Roman" w:hAnsi="Times New Roman" w:eastAsia="仿宋_GB2312" w:cs="Times New Roman"/>
          <w:bCs/>
          <w:color w:val="auto"/>
          <w:sz w:val="32"/>
          <w:szCs w:val="32"/>
          <w:highlight w:val="none"/>
          <w:lang w:val="en-US" w:eastAsia="zh-CN"/>
        </w:rPr>
        <w:t>主体确定</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在备用服务开始的</w:t>
      </w:r>
      <w:r>
        <w:rPr>
          <w:rFonts w:ascii="Times New Roman" w:hAnsi="Times New Roman" w:eastAsia="仿宋_GB2312" w:cs="Times New Roman"/>
          <w:bCs/>
          <w:color w:val="auto"/>
          <w:sz w:val="32"/>
          <w:szCs w:val="32"/>
          <w:highlight w:val="none"/>
        </w:rPr>
        <w:t>2个工作日</w:t>
      </w:r>
      <w:r>
        <w:rPr>
          <w:rFonts w:hint="eastAsia" w:ascii="Times New Roman" w:hAnsi="Times New Roman" w:eastAsia="仿宋_GB2312" w:cs="Times New Roman"/>
          <w:bCs/>
          <w:color w:val="auto"/>
          <w:sz w:val="32"/>
          <w:szCs w:val="32"/>
          <w:highlight w:val="none"/>
          <w:lang w:val="en-US" w:eastAsia="zh-CN"/>
        </w:rPr>
        <w:t>前，</w:t>
      </w:r>
      <w:r>
        <w:rPr>
          <w:rFonts w:ascii="Times New Roman" w:hAnsi="Times New Roman" w:eastAsia="仿宋_GB2312" w:cs="Times New Roman"/>
          <w:bCs/>
          <w:color w:val="auto"/>
          <w:sz w:val="32"/>
          <w:szCs w:val="32"/>
          <w:highlight w:val="none"/>
        </w:rPr>
        <w:t>管理中心</w:t>
      </w:r>
      <w:r>
        <w:rPr>
          <w:rFonts w:hint="eastAsia" w:ascii="Times New Roman" w:hAnsi="Times New Roman" w:eastAsia="仿宋_GB2312" w:cs="Times New Roman"/>
          <w:bCs/>
          <w:color w:val="auto"/>
          <w:sz w:val="32"/>
          <w:szCs w:val="32"/>
          <w:highlight w:val="none"/>
          <w:lang w:val="en-US" w:eastAsia="zh-CN"/>
        </w:rPr>
        <w:t>按照</w:t>
      </w:r>
      <w:r>
        <w:rPr>
          <w:rFonts w:ascii="Times New Roman" w:hAnsi="Times New Roman" w:eastAsia="仿宋_GB2312" w:cs="Times New Roman"/>
          <w:bCs/>
          <w:color w:val="auto"/>
          <w:sz w:val="32"/>
          <w:szCs w:val="32"/>
          <w:highlight w:val="none"/>
        </w:rPr>
        <w:t>“性能优先、容量优先、时序优先”的原则</w:t>
      </w:r>
      <w:r>
        <w:rPr>
          <w:rFonts w:hint="eastAsia" w:ascii="Times New Roman" w:hAnsi="Times New Roman" w:eastAsia="仿宋_GB2312" w:cs="Times New Roman"/>
          <w:bCs/>
          <w:color w:val="auto"/>
          <w:sz w:val="32"/>
          <w:szCs w:val="32"/>
          <w:highlight w:val="none"/>
          <w:lang w:eastAsia="zh-CN"/>
        </w:rPr>
        <w:t>，</w:t>
      </w:r>
      <w:r>
        <w:rPr>
          <w:rFonts w:ascii="Times New Roman" w:hAnsi="Times New Roman" w:eastAsia="仿宋_GB2312" w:cs="Times New Roman"/>
          <w:bCs/>
          <w:color w:val="auto"/>
          <w:sz w:val="32"/>
          <w:szCs w:val="32"/>
          <w:highlight w:val="none"/>
        </w:rPr>
        <w:t>管理中心按照</w:t>
      </w:r>
      <w:r>
        <w:rPr>
          <w:rFonts w:hint="eastAsia" w:ascii="Times New Roman" w:hAnsi="Times New Roman" w:eastAsia="仿宋_GB2312" w:cs="Times New Roman"/>
          <w:bCs/>
          <w:color w:val="auto"/>
          <w:sz w:val="32"/>
          <w:szCs w:val="32"/>
          <w:highlight w:val="none"/>
          <w:lang w:val="en-US" w:eastAsia="zh-CN"/>
        </w:rPr>
        <w:t>不低于需求容量的150%确定</w:t>
      </w:r>
      <w:r>
        <w:rPr>
          <w:rFonts w:ascii="Times New Roman" w:hAnsi="Times New Roman" w:eastAsia="仿宋_GB2312" w:cs="Times New Roman"/>
          <w:bCs/>
          <w:color w:val="auto"/>
          <w:sz w:val="32"/>
          <w:szCs w:val="32"/>
          <w:highlight w:val="none"/>
        </w:rPr>
        <w:t>备用主体。</w:t>
      </w:r>
    </w:p>
    <w:p w14:paraId="2BF7B4C7">
      <w:pPr>
        <w:pStyle w:val="33"/>
        <w:numPr>
          <w:ilvl w:val="0"/>
          <w:numId w:val="8"/>
        </w:numPr>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调用执行。</w:t>
      </w:r>
      <w:r>
        <w:rPr>
          <w:rFonts w:hint="eastAsia" w:ascii="Times New Roman" w:hAnsi="Times New Roman" w:eastAsia="仿宋_GB2312" w:cs="Times New Roman"/>
          <w:bCs/>
          <w:color w:val="auto"/>
          <w:sz w:val="32"/>
          <w:szCs w:val="32"/>
          <w:highlight w:val="none"/>
          <w:lang w:val="en-US" w:eastAsia="zh-CN"/>
        </w:rPr>
        <w:t>当</w:t>
      </w:r>
      <w:r>
        <w:rPr>
          <w:rFonts w:hint="default" w:ascii="Times New Roman" w:hAnsi="Times New Roman" w:eastAsia="仿宋_GB2312" w:cs="Times New Roman"/>
          <w:bCs/>
          <w:color w:val="auto"/>
          <w:sz w:val="32"/>
          <w:szCs w:val="32"/>
          <w:highlight w:val="none"/>
        </w:rPr>
        <w:t>日内局部区域存在断面、变压器、线路、馈线、台区重过载风险</w:t>
      </w:r>
      <w:r>
        <w:rPr>
          <w:rFonts w:hint="eastAsia" w:ascii="Times New Roman" w:hAnsi="Times New Roman" w:eastAsia="仿宋_GB2312" w:cs="Times New Roman"/>
          <w:bCs/>
          <w:color w:val="auto"/>
          <w:sz w:val="32"/>
          <w:szCs w:val="32"/>
          <w:highlight w:val="none"/>
          <w:lang w:eastAsia="zh-CN"/>
        </w:rPr>
        <w:t>，</w:t>
      </w:r>
      <w:r>
        <w:rPr>
          <w:rFonts w:ascii="Times New Roman" w:hAnsi="Times New Roman" w:eastAsia="仿宋_GB2312" w:cs="Times New Roman"/>
          <w:bCs/>
          <w:color w:val="auto"/>
          <w:sz w:val="32"/>
          <w:szCs w:val="32"/>
          <w:highlight w:val="none"/>
        </w:rPr>
        <w:t>或者事故等紧急状态时，</w:t>
      </w:r>
      <w:r>
        <w:rPr>
          <w:rFonts w:hint="eastAsia" w:ascii="Times New Roman" w:hAnsi="Times New Roman" w:eastAsia="仿宋_GB2312" w:cs="Times New Roman"/>
          <w:bCs/>
          <w:color w:val="auto"/>
          <w:sz w:val="32"/>
          <w:szCs w:val="32"/>
          <w:highlight w:val="none"/>
          <w:lang w:val="en-US" w:eastAsia="zh-CN"/>
        </w:rPr>
        <w:t>由管理中心向虚拟电厂运行商技术支持系统发布实时调用需求，虚拟电厂运行商须在接收调用需求的5分钟内完成功率调整</w:t>
      </w:r>
      <w:r>
        <w:rPr>
          <w:rFonts w:ascii="Times New Roman" w:hAnsi="Times New Roman" w:eastAsia="仿宋_GB2312" w:cs="Times New Roman"/>
          <w:bCs/>
          <w:color w:val="auto"/>
          <w:sz w:val="32"/>
          <w:szCs w:val="32"/>
          <w:highlight w:val="none"/>
        </w:rPr>
        <w:t>。</w:t>
      </w:r>
    </w:p>
    <w:p w14:paraId="7E43339B">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无功调节</w:t>
      </w:r>
    </w:p>
    <w:p w14:paraId="742E61FB">
      <w:pPr>
        <w:pStyle w:val="33"/>
        <w:tabs>
          <w:tab w:val="left" w:pos="6720"/>
        </w:tabs>
        <w:spacing w:line="560" w:lineRule="exact"/>
        <w:ind w:firstLine="640"/>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（一）无功调节。</w:t>
      </w:r>
      <w:r>
        <w:rPr>
          <w:rFonts w:hint="default" w:ascii="Times New Roman" w:hAnsi="Times New Roman" w:eastAsia="仿宋_GB2312" w:cs="Times New Roman"/>
          <w:bCs/>
          <w:color w:val="auto"/>
          <w:sz w:val="32"/>
          <w:szCs w:val="32"/>
          <w:highlight w:val="none"/>
        </w:rPr>
        <w:t>按照</w:t>
      </w:r>
      <w:r>
        <w:rPr>
          <w:rFonts w:ascii="Times New Roman" w:hAnsi="Times New Roman" w:eastAsia="仿宋_GB2312" w:cs="Times New Roman"/>
          <w:bCs/>
          <w:color w:val="auto"/>
          <w:sz w:val="32"/>
          <w:szCs w:val="32"/>
          <w:highlight w:val="none"/>
        </w:rPr>
        <w:t>“容量优先，时序优先”</w:t>
      </w:r>
      <w:r>
        <w:rPr>
          <w:rFonts w:hint="default" w:ascii="Times New Roman" w:hAnsi="Times New Roman" w:eastAsia="仿宋_GB2312" w:cs="Times New Roman"/>
          <w:bCs/>
          <w:color w:val="auto"/>
          <w:sz w:val="32"/>
          <w:szCs w:val="32"/>
          <w:highlight w:val="none"/>
        </w:rPr>
        <w:t>原则</w:t>
      </w:r>
      <w:r>
        <w:rPr>
          <w:rFonts w:ascii="Times New Roman" w:hAnsi="Times New Roman" w:eastAsia="仿宋_GB2312" w:cs="Times New Roman"/>
          <w:bCs/>
          <w:color w:val="auto"/>
          <w:sz w:val="32"/>
          <w:szCs w:val="32"/>
          <w:highlight w:val="none"/>
        </w:rPr>
        <w:t>，按照</w:t>
      </w:r>
      <w:r>
        <w:rPr>
          <w:rFonts w:hint="eastAsia" w:ascii="Times New Roman" w:hAnsi="Times New Roman" w:eastAsia="仿宋_GB2312" w:cs="Times New Roman"/>
          <w:bCs/>
          <w:color w:val="auto"/>
          <w:sz w:val="32"/>
          <w:szCs w:val="32"/>
          <w:highlight w:val="none"/>
          <w:lang w:val="en-US" w:eastAsia="zh-CN"/>
        </w:rPr>
        <w:t>不低于需求容量的120%在需求发布日（D-1日）确定日前无功调节资源</w:t>
      </w:r>
      <w:r>
        <w:rPr>
          <w:rFonts w:hint="default"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并向响应主体发布调节容量、调节时段、</w:t>
      </w:r>
      <w:r>
        <w:rPr>
          <w:rFonts w:hint="default" w:ascii="Times New Roman" w:hAnsi="Times New Roman" w:eastAsia="仿宋_GB2312" w:cs="Times New Roman"/>
          <w:bCs/>
          <w:color w:val="auto"/>
          <w:sz w:val="32"/>
          <w:szCs w:val="32"/>
          <w:highlight w:val="none"/>
        </w:rPr>
        <w:t>调用</w:t>
      </w:r>
      <w:r>
        <w:rPr>
          <w:rFonts w:ascii="Times New Roman" w:hAnsi="Times New Roman" w:eastAsia="仿宋_GB2312" w:cs="Times New Roman"/>
          <w:bCs/>
          <w:color w:val="auto"/>
          <w:sz w:val="32"/>
          <w:szCs w:val="32"/>
          <w:highlight w:val="none"/>
        </w:rPr>
        <w:t>清单。</w:t>
      </w:r>
    </w:p>
    <w:p w14:paraId="799A1A7F">
      <w:pPr>
        <w:pStyle w:val="33"/>
        <w:tabs>
          <w:tab w:val="left" w:pos="6720"/>
        </w:tabs>
        <w:adjustRightInd w:val="0"/>
        <w:snapToGrid w:val="0"/>
        <w:spacing w:line="560" w:lineRule="exact"/>
        <w:ind w:firstLine="640"/>
        <w:rPr>
          <w:rFonts w:hint="default" w:ascii="Times New Roman" w:hAnsi="Times New Roman" w:eastAsia="仿宋_GB2312" w:cs="Times New Roman"/>
          <w:b/>
          <w:color w:val="auto"/>
          <w:sz w:val="32"/>
          <w:szCs w:val="32"/>
          <w:highlight w:val="none"/>
        </w:rPr>
      </w:pPr>
      <w:r>
        <w:rPr>
          <w:rFonts w:ascii="Times New Roman" w:hAnsi="Times New Roman" w:eastAsia="仿宋_GB2312" w:cs="Times New Roman"/>
          <w:bCs/>
          <w:color w:val="auto"/>
          <w:sz w:val="32"/>
          <w:szCs w:val="32"/>
          <w:highlight w:val="none"/>
        </w:rPr>
        <w:t>（二）无功调节执行。</w:t>
      </w:r>
      <w:r>
        <w:rPr>
          <w:rFonts w:hint="eastAsia" w:ascii="Times New Roman" w:hAnsi="Times New Roman" w:eastAsia="仿宋_GB2312" w:cs="Times New Roman"/>
          <w:bCs/>
          <w:color w:val="auto"/>
          <w:sz w:val="32"/>
          <w:szCs w:val="32"/>
          <w:highlight w:val="none"/>
          <w:lang w:val="en-US" w:eastAsia="zh-CN"/>
        </w:rPr>
        <w:t>响应主体须在确定的响应时段</w:t>
      </w:r>
      <w:r>
        <w:rPr>
          <w:rFonts w:ascii="Times New Roman" w:hAnsi="Times New Roman" w:eastAsia="仿宋_GB2312" w:cs="Times New Roman"/>
          <w:bCs/>
          <w:color w:val="auto"/>
          <w:sz w:val="32"/>
          <w:szCs w:val="32"/>
          <w:highlight w:val="none"/>
        </w:rPr>
        <w:t>按执行无功调节。</w:t>
      </w:r>
    </w:p>
    <w:p w14:paraId="03D7D0E3">
      <w:pPr>
        <w:pStyle w:val="28"/>
        <w:widowControl/>
        <w:numPr>
          <w:ilvl w:val="1"/>
          <w:numId w:val="4"/>
        </w:numPr>
        <w:adjustRightInd w:val="0"/>
        <w:snapToGrid w:val="0"/>
        <w:spacing w:line="560" w:lineRule="exact"/>
        <w:ind w:firstLineChars="0"/>
        <w:jc w:val="center"/>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rPr>
        <w:t>效果评估</w:t>
      </w:r>
    </w:p>
    <w:p w14:paraId="5986AA08">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lang w:eastAsia="zh-CN"/>
        </w:rPr>
        <w:t>有功响应</w:t>
      </w:r>
    </w:p>
    <w:p w14:paraId="465B157E">
      <w:pPr>
        <w:pStyle w:val="33"/>
        <w:keepNext w:val="0"/>
        <w:keepLines w:val="0"/>
        <w:pageBreakBefore w:val="0"/>
        <w:widowControl w:val="0"/>
        <w:numPr>
          <w:ilvl w:val="0"/>
          <w:numId w:val="9"/>
        </w:numPr>
        <w:tabs>
          <w:tab w:val="left" w:pos="672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日前和日内有功响应</w:t>
      </w:r>
      <w:r>
        <w:rPr>
          <w:rFonts w:hint="default" w:ascii="仿宋_GB2312" w:hAnsi="仿宋_GB2312" w:eastAsia="仿宋_GB2312" w:cs="仿宋_GB2312"/>
          <w:color w:val="auto"/>
          <w:kern w:val="2"/>
          <w:sz w:val="32"/>
          <w:szCs w:val="32"/>
          <w:highlight w:val="none"/>
          <w:lang w:val="en-US" w:eastAsia="zh-CN" w:bidi="ar-SA"/>
        </w:rPr>
        <w:t>基线</w:t>
      </w:r>
      <w:r>
        <w:rPr>
          <w:rFonts w:hint="eastAsia" w:ascii="仿宋_GB2312" w:hAnsi="仿宋_GB2312" w:eastAsia="仿宋_GB2312" w:cs="仿宋_GB2312"/>
          <w:color w:val="auto"/>
          <w:kern w:val="2"/>
          <w:sz w:val="32"/>
          <w:szCs w:val="32"/>
          <w:highlight w:val="none"/>
          <w:lang w:val="en-US" w:eastAsia="zh-CN" w:bidi="ar-SA"/>
        </w:rPr>
        <w:t>认定。响应主体基线负荷为判定有功响应执行效果的依据，基线负荷以15分钟平均功率计算。</w:t>
      </w:r>
    </w:p>
    <w:p w14:paraId="4B1A3CBC">
      <w:pPr>
        <w:keepNext w:val="0"/>
        <w:keepLines w:val="0"/>
        <w:pageBreakBefore w:val="0"/>
        <w:widowControl w:val="0"/>
        <w:tabs>
          <w:tab w:val="left" w:pos="6720"/>
        </w:tabs>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仿宋_GB2312" w:hAnsi="仿宋_GB2312" w:eastAsia="仿宋_GB2312" w:cs="仿宋_GB2312"/>
          <w:color w:val="auto"/>
          <w:sz w:val="32"/>
          <w:szCs w:val="32"/>
          <w:highlight w:val="none"/>
        </w:rPr>
        <w:t>基线负荷制定。</w:t>
      </w:r>
      <w:r>
        <w:rPr>
          <w:rFonts w:hint="eastAsia" w:ascii="仿宋_GB2312" w:hAnsi="仿宋_GB2312" w:eastAsia="仿宋_GB2312" w:cs="仿宋_GB2312"/>
          <w:color w:val="auto"/>
          <w:sz w:val="32"/>
          <w:szCs w:val="32"/>
          <w:highlight w:val="none"/>
          <w:lang w:eastAsia="zh-CN"/>
        </w:rPr>
        <w:t>用户</w:t>
      </w:r>
      <w:r>
        <w:rPr>
          <w:rFonts w:hint="eastAsia" w:ascii="仿宋_GB2312" w:hAnsi="仿宋_GB2312" w:eastAsia="仿宋_GB2312" w:cs="仿宋_GB2312"/>
          <w:color w:val="auto"/>
          <w:sz w:val="32"/>
          <w:szCs w:val="32"/>
          <w:highlight w:val="none"/>
        </w:rPr>
        <w:t>基线负荷制定分工作日、周六、周日、法定节假日和调休节假日五种类型。工作日选取D-</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日及以前日期的与运行日（D日）同类型日</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最近5个经拟合后的不参与</w:t>
      </w:r>
      <w:r>
        <w:rPr>
          <w:rFonts w:hint="eastAsia" w:ascii="仿宋_GB2312" w:hAnsi="仿宋_GB2312" w:eastAsia="仿宋_GB2312" w:cs="仿宋_GB2312"/>
          <w:color w:val="auto"/>
          <w:sz w:val="32"/>
          <w:szCs w:val="32"/>
          <w:highlight w:val="none"/>
          <w:lang w:eastAsia="zh-CN"/>
        </w:rPr>
        <w:t>有功响应</w:t>
      </w:r>
      <w:r>
        <w:rPr>
          <w:rFonts w:hint="eastAsia" w:ascii="仿宋_GB2312" w:hAnsi="仿宋_GB2312" w:eastAsia="仿宋_GB2312" w:cs="仿宋_GB2312"/>
          <w:color w:val="auto"/>
          <w:sz w:val="32"/>
          <w:szCs w:val="32"/>
          <w:highlight w:val="none"/>
        </w:rPr>
        <w:t>作为负荷样本，剔除日电量低于5个样本日均电量25%或高于5个样本日均电量200%的样本后，剔除后不足5 个样本的继续向前选择，直至满5个样本为止。因调休导致的周末上班日视为工作日。周六、周日、法定节假日、调休节假日的基线负荷制定参照工作日，将选取样本数调整为3个，其中调休节假日的样本选取参考周日基线负荷制定，但不纳入正常周日基线负荷计算样本库。基线负荷以</w:t>
      </w:r>
      <w:r>
        <w:rPr>
          <w:rFonts w:hint="eastAsia" w:ascii="仿宋_GB2312" w:hAnsi="仿宋_GB2312" w:eastAsia="仿宋_GB2312" w:cs="仿宋_GB2312"/>
          <w:color w:val="auto"/>
          <w:sz w:val="32"/>
          <w:szCs w:val="32"/>
          <w:highlight w:val="none"/>
          <w:lang w:eastAsia="zh-CN"/>
        </w:rPr>
        <w:t>用户</w:t>
      </w:r>
      <w:r>
        <w:rPr>
          <w:rFonts w:hint="eastAsia" w:ascii="仿宋_GB2312" w:hAnsi="仿宋_GB2312" w:eastAsia="仿宋_GB2312" w:cs="仿宋_GB2312"/>
          <w:color w:val="auto"/>
          <w:sz w:val="32"/>
          <w:szCs w:val="32"/>
          <w:highlight w:val="none"/>
        </w:rPr>
        <w:t>为单元计算。虚拟电厂运营商的基线负荷为聚合的</w:t>
      </w:r>
      <w:r>
        <w:rPr>
          <w:rFonts w:hint="eastAsia" w:ascii="仿宋_GB2312" w:hAnsi="仿宋_GB2312" w:eastAsia="仿宋_GB2312" w:cs="仿宋_GB2312"/>
          <w:color w:val="auto"/>
          <w:sz w:val="32"/>
          <w:szCs w:val="32"/>
          <w:highlight w:val="none"/>
          <w:lang w:eastAsia="zh-CN"/>
        </w:rPr>
        <w:t>用户</w:t>
      </w:r>
      <w:r>
        <w:rPr>
          <w:rFonts w:hint="eastAsia" w:ascii="Times New Roman" w:hAnsi="Times New Roman" w:eastAsia="仿宋_GB2312" w:cs="Times New Roman"/>
          <w:color w:val="auto"/>
          <w:sz w:val="32"/>
          <w:szCs w:val="32"/>
          <w:highlight w:val="none"/>
        </w:rPr>
        <w:t>响应基线负荷之和。</w:t>
      </w:r>
    </w:p>
    <w:p w14:paraId="517475E2">
      <w:pPr>
        <w:keepNext w:val="0"/>
        <w:keepLines w:val="0"/>
        <w:pageBreakBefore w:val="0"/>
        <w:widowControl w:val="0"/>
        <w:tabs>
          <w:tab w:val="left" w:pos="672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日前和日内的</w:t>
      </w:r>
      <w:r>
        <w:rPr>
          <w:rFonts w:hint="eastAsia" w:ascii="仿宋_GB2312" w:hAnsi="仿宋_GB2312" w:eastAsia="仿宋_GB2312" w:cs="仿宋_GB2312"/>
          <w:color w:val="auto"/>
          <w:sz w:val="32"/>
          <w:szCs w:val="32"/>
          <w:highlight w:val="none"/>
        </w:rPr>
        <w:t>基线</w:t>
      </w:r>
      <w:r>
        <w:rPr>
          <w:rFonts w:hint="eastAsia" w:ascii="仿宋_GB2312" w:hAnsi="仿宋_GB2312" w:eastAsia="仿宋_GB2312" w:cs="仿宋_GB2312"/>
          <w:color w:val="auto"/>
          <w:sz w:val="32"/>
          <w:szCs w:val="32"/>
          <w:highlight w:val="none"/>
          <w:lang w:val="en-US" w:eastAsia="zh-CN"/>
        </w:rPr>
        <w:t>负荷</w:t>
      </w:r>
      <w:r>
        <w:rPr>
          <w:rFonts w:hint="eastAsia" w:ascii="仿宋_GB2312" w:hAnsi="仿宋_GB2312" w:eastAsia="仿宋_GB2312" w:cs="仿宋_GB2312"/>
          <w:color w:val="auto"/>
          <w:sz w:val="32"/>
          <w:szCs w:val="32"/>
          <w:highlight w:val="none"/>
        </w:rPr>
        <w:t>采用日内调节机制，调节系数取响应时段（T）前</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小时的</w:t>
      </w:r>
      <w:r>
        <w:rPr>
          <w:rFonts w:hint="eastAsia" w:ascii="仿宋_GB2312" w:hAnsi="仿宋_GB2312" w:eastAsia="仿宋_GB2312" w:cs="仿宋_GB2312"/>
          <w:color w:val="auto"/>
          <w:sz w:val="32"/>
          <w:szCs w:val="32"/>
          <w:highlight w:val="none"/>
          <w:lang w:val="en-US" w:eastAsia="zh-CN"/>
        </w:rPr>
        <w:t>前2</w:t>
      </w:r>
      <w:r>
        <w:rPr>
          <w:rFonts w:hint="eastAsia" w:ascii="仿宋_GB2312" w:hAnsi="仿宋_GB2312" w:eastAsia="仿宋_GB2312" w:cs="仿宋_GB2312"/>
          <w:color w:val="auto"/>
          <w:sz w:val="32"/>
          <w:szCs w:val="32"/>
          <w:highlight w:val="none"/>
        </w:rPr>
        <w:t>小时（T-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至T-1</w:t>
      </w:r>
      <w:r>
        <w:rPr>
          <w:rFonts w:hint="eastAsia" w:ascii="仿宋_GB2312" w:hAnsi="仿宋_GB2312" w:eastAsia="仿宋_GB2312" w:cs="仿宋_GB2312"/>
          <w:color w:val="auto"/>
          <w:sz w:val="32"/>
          <w:szCs w:val="32"/>
          <w:highlight w:val="none"/>
          <w:lang w:val="en-US" w:eastAsia="zh-CN"/>
        </w:rPr>
        <w:t>时</w:t>
      </w:r>
      <w:r>
        <w:rPr>
          <w:rFonts w:hint="eastAsia" w:ascii="仿宋_GB2312" w:hAnsi="仿宋_GB2312" w:eastAsia="仿宋_GB2312" w:cs="仿宋_GB2312"/>
          <w:color w:val="auto"/>
          <w:sz w:val="32"/>
          <w:szCs w:val="32"/>
          <w:highlight w:val="none"/>
        </w:rPr>
        <w:t>）广州统调平均负荷与基线对应时段广州统调平均负荷的比值，取值范围为0.8至1.2。</w:t>
      </w:r>
    </w:p>
    <w:p w14:paraId="2BAAE8E8">
      <w:pPr>
        <w:pStyle w:val="33"/>
        <w:keepNext w:val="0"/>
        <w:keepLines w:val="0"/>
        <w:pageBreakBefore w:val="0"/>
        <w:widowControl w:val="0"/>
        <w:tabs>
          <w:tab w:val="left" w:pos="6720"/>
        </w:tabs>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（二）实时基准功率计算。</w:t>
      </w:r>
      <w:r>
        <w:rPr>
          <w:rFonts w:hint="eastAsia" w:ascii="仿宋_GB2312" w:hAnsi="仿宋_GB2312" w:eastAsia="仿宋_GB2312" w:cs="仿宋_GB2312"/>
          <w:color w:val="auto"/>
          <w:sz w:val="32"/>
          <w:szCs w:val="32"/>
          <w:highlight w:val="none"/>
          <w:lang w:val="en-US" w:eastAsia="zh-CN"/>
        </w:rPr>
        <w:t>响应主体基准功率</w:t>
      </w:r>
      <w:r>
        <w:rPr>
          <w:rFonts w:hint="eastAsia" w:ascii="仿宋_GB2312" w:hAnsi="仿宋_GB2312" w:eastAsia="仿宋_GB2312" w:cs="仿宋_GB2312"/>
          <w:color w:val="auto"/>
          <w:sz w:val="32"/>
          <w:szCs w:val="32"/>
          <w:highlight w:val="none"/>
        </w:rPr>
        <w:t>为判定</w:t>
      </w:r>
      <w:r>
        <w:rPr>
          <w:rFonts w:hint="eastAsia" w:ascii="仿宋_GB2312" w:hAnsi="仿宋_GB2312" w:eastAsia="仿宋_GB2312" w:cs="仿宋_GB2312"/>
          <w:color w:val="auto"/>
          <w:sz w:val="32"/>
          <w:szCs w:val="32"/>
          <w:highlight w:val="none"/>
          <w:lang w:val="en-US" w:eastAsia="zh-CN"/>
        </w:rPr>
        <w:t>备用服务调用和实时有功响应</w:t>
      </w:r>
      <w:r>
        <w:rPr>
          <w:rFonts w:hint="eastAsia" w:ascii="仿宋_GB2312" w:hAnsi="仿宋_GB2312" w:eastAsia="仿宋_GB2312" w:cs="仿宋_GB2312"/>
          <w:color w:val="auto"/>
          <w:sz w:val="32"/>
          <w:szCs w:val="32"/>
          <w:highlight w:val="none"/>
        </w:rPr>
        <w:t>执行效果的依据</w:t>
      </w:r>
      <w:r>
        <w:rPr>
          <w:rFonts w:hint="eastAsia" w:ascii="仿宋_GB2312" w:hAnsi="仿宋_GB2312"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用户</w:t>
      </w:r>
      <w:r>
        <w:rPr>
          <w:rFonts w:ascii="Times New Roman" w:hAnsi="Times New Roman" w:eastAsia="仿宋_GB2312" w:cs="Times New Roman"/>
          <w:color w:val="auto"/>
          <w:sz w:val="32"/>
          <w:szCs w:val="32"/>
          <w:highlight w:val="none"/>
        </w:rPr>
        <w:t>基准功率</w:t>
      </w:r>
      <w:r>
        <w:rPr>
          <w:rFonts w:hint="eastAsia" w:ascii="Times New Roman" w:hAnsi="Times New Roman" w:eastAsia="仿宋_GB2312" w:cs="Times New Roman"/>
          <w:color w:val="auto"/>
          <w:sz w:val="32"/>
          <w:szCs w:val="32"/>
          <w:highlight w:val="none"/>
          <w:lang w:val="en-US" w:eastAsia="zh-CN"/>
        </w:rPr>
        <w:t>P</w:t>
      </w:r>
      <w:r>
        <w:rPr>
          <w:rFonts w:ascii="Times New Roman" w:hAnsi="Times New Roman" w:eastAsia="仿宋_GB2312" w:cs="Times New Roman"/>
          <w:color w:val="auto"/>
          <w:sz w:val="32"/>
          <w:szCs w:val="32"/>
          <w:highlight w:val="none"/>
          <w:vertAlign w:val="subscript"/>
        </w:rPr>
        <w:t>实时</w:t>
      </w:r>
      <w:r>
        <w:rPr>
          <w:rFonts w:ascii="Times New Roman" w:hAnsi="Times New Roman" w:eastAsia="仿宋_GB2312" w:cs="Times New Roman"/>
          <w:color w:val="auto"/>
          <w:sz w:val="32"/>
          <w:szCs w:val="32"/>
          <w:highlight w:val="none"/>
        </w:rPr>
        <w:t>的确定：基准功率</w:t>
      </w:r>
      <w:r>
        <w:rPr>
          <w:rFonts w:hint="eastAsia" w:ascii="Times New Roman" w:hAnsi="Times New Roman" w:eastAsia="仿宋_GB2312" w:cs="Times New Roman"/>
          <w:color w:val="auto"/>
          <w:sz w:val="32"/>
          <w:szCs w:val="32"/>
          <w:highlight w:val="none"/>
          <w:lang w:val="en-US" w:eastAsia="zh-CN"/>
        </w:rPr>
        <w:t>P</w:t>
      </w:r>
      <w:r>
        <w:rPr>
          <w:rFonts w:hint="eastAsia" w:ascii="Times New Roman" w:hAnsi="Times New Roman" w:eastAsia="仿宋_GB2312" w:cs="Times New Roman"/>
          <w:color w:val="auto"/>
          <w:sz w:val="32"/>
          <w:szCs w:val="32"/>
          <w:highlight w:val="none"/>
          <w:vertAlign w:val="subscript"/>
          <w:lang w:val="en-US" w:eastAsia="zh-CN"/>
        </w:rPr>
        <w:t>7</w:t>
      </w:r>
      <w:r>
        <w:rPr>
          <w:rFonts w:ascii="Times New Roman" w:hAnsi="Times New Roman" w:eastAsia="仿宋_GB2312" w:cs="Times New Roman"/>
          <w:color w:val="auto"/>
          <w:sz w:val="32"/>
          <w:szCs w:val="32"/>
          <w:highlight w:val="none"/>
        </w:rPr>
        <w:t>取调用时段前最近3个未被调用的15分钟历史平均功率，基准功率</w:t>
      </w:r>
      <w:r>
        <w:rPr>
          <w:rFonts w:hint="eastAsia" w:ascii="Times New Roman" w:hAnsi="Times New Roman" w:eastAsia="仿宋_GB2312" w:cs="Times New Roman"/>
          <w:color w:val="auto"/>
          <w:sz w:val="32"/>
          <w:szCs w:val="32"/>
          <w:highlight w:val="none"/>
          <w:lang w:val="en-US" w:eastAsia="zh-CN"/>
        </w:rPr>
        <w:t>P</w:t>
      </w:r>
      <w:r>
        <w:rPr>
          <w:rFonts w:hint="eastAsia" w:ascii="Times New Roman" w:hAnsi="Times New Roman" w:eastAsia="仿宋_GB2312" w:cs="Times New Roman"/>
          <w:color w:val="auto"/>
          <w:sz w:val="32"/>
          <w:szCs w:val="32"/>
          <w:highlight w:val="none"/>
          <w:vertAlign w:val="subscript"/>
          <w:lang w:val="en-US" w:eastAsia="zh-CN"/>
        </w:rPr>
        <w:t>8</w:t>
      </w:r>
      <w:r>
        <w:rPr>
          <w:rFonts w:ascii="Times New Roman" w:hAnsi="Times New Roman" w:eastAsia="仿宋_GB2312" w:cs="Times New Roman"/>
          <w:color w:val="auto"/>
          <w:sz w:val="32"/>
          <w:szCs w:val="32"/>
          <w:highlight w:val="none"/>
        </w:rPr>
        <w:t>取最近三个样本日调用时段前最近3个未被调用的15分钟历史平均功率，则</w:t>
      </w:r>
      <w:r>
        <w:rPr>
          <w:rFonts w:hint="eastAsia" w:ascii="Times New Roman" w:hAnsi="Times New Roman" w:eastAsia="仿宋_GB2312" w:cs="Times New Roman"/>
          <w:color w:val="auto"/>
          <w:sz w:val="32"/>
          <w:szCs w:val="32"/>
          <w:highlight w:val="none"/>
          <w:lang w:val="en-US" w:eastAsia="zh-CN"/>
        </w:rPr>
        <w:t>P</w:t>
      </w:r>
      <w:r>
        <w:rPr>
          <w:rFonts w:ascii="Times New Roman" w:hAnsi="Times New Roman" w:eastAsia="仿宋_GB2312" w:cs="Times New Roman"/>
          <w:color w:val="auto"/>
          <w:sz w:val="32"/>
          <w:szCs w:val="32"/>
          <w:highlight w:val="none"/>
          <w:vertAlign w:val="subscript"/>
        </w:rPr>
        <w:t>实时</w:t>
      </w:r>
      <w:r>
        <w:rPr>
          <w:rFonts w:ascii="Times New Roman" w:hAnsi="Times New Roman" w:eastAsia="仿宋_GB2312" w:cs="Times New Roman"/>
          <w:color w:val="auto"/>
          <w:sz w:val="32"/>
          <w:szCs w:val="32"/>
          <w:highlight w:val="none"/>
        </w:rPr>
        <w:t>=max（</w:t>
      </w:r>
      <w:r>
        <w:rPr>
          <w:rFonts w:hint="eastAsia" w:ascii="Times New Roman" w:hAnsi="Times New Roman" w:eastAsia="仿宋_GB2312" w:cs="Times New Roman"/>
          <w:color w:val="auto"/>
          <w:sz w:val="32"/>
          <w:szCs w:val="32"/>
          <w:highlight w:val="none"/>
          <w:lang w:val="en-US" w:eastAsia="zh-CN"/>
        </w:rPr>
        <w:t>P</w:t>
      </w:r>
      <w:r>
        <w:rPr>
          <w:rFonts w:hint="eastAsia" w:ascii="Times New Roman" w:hAnsi="Times New Roman" w:eastAsia="仿宋_GB2312" w:cs="Times New Roman"/>
          <w:color w:val="auto"/>
          <w:sz w:val="32"/>
          <w:szCs w:val="32"/>
          <w:highlight w:val="none"/>
          <w:vertAlign w:val="subscript"/>
          <w:lang w:val="en-US" w:eastAsia="zh-CN"/>
        </w:rPr>
        <w:t>7</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P</w:t>
      </w:r>
      <w:r>
        <w:rPr>
          <w:rFonts w:hint="eastAsia" w:ascii="Times New Roman" w:hAnsi="Times New Roman" w:eastAsia="仿宋_GB2312" w:cs="Times New Roman"/>
          <w:color w:val="auto"/>
          <w:sz w:val="32"/>
          <w:szCs w:val="32"/>
          <w:highlight w:val="none"/>
          <w:vertAlign w:val="subscript"/>
          <w:lang w:val="en-US" w:eastAsia="zh-CN"/>
        </w:rPr>
        <w:t>8</w:t>
      </w:r>
      <w:r>
        <w:rPr>
          <w:rFonts w:ascii="Times New Roman" w:hAnsi="Times New Roman" w:eastAsia="仿宋_GB2312" w:cs="Times New Roman"/>
          <w:color w:val="auto"/>
          <w:sz w:val="32"/>
          <w:szCs w:val="32"/>
          <w:highlight w:val="none"/>
        </w:rPr>
        <w:t>）。虚拟电厂运营商的基准功率</w:t>
      </w:r>
      <w:r>
        <w:rPr>
          <w:rFonts w:ascii="仿宋_GB2312" w:hAnsi="仿宋_GB2312" w:eastAsia="仿宋_GB2312" w:cs="仿宋_GB2312"/>
          <w:color w:val="auto"/>
          <w:sz w:val="32"/>
          <w:szCs w:val="32"/>
          <w:highlight w:val="none"/>
        </w:rPr>
        <w:t>为聚合的</w:t>
      </w:r>
      <w:r>
        <w:rPr>
          <w:rFonts w:hint="eastAsia" w:ascii="仿宋_GB2312" w:hAnsi="仿宋_GB2312" w:eastAsia="仿宋_GB2312" w:cs="仿宋_GB2312"/>
          <w:color w:val="auto"/>
          <w:sz w:val="32"/>
          <w:szCs w:val="32"/>
          <w:highlight w:val="none"/>
          <w:lang w:eastAsia="zh-CN"/>
        </w:rPr>
        <w:t>用户</w:t>
      </w:r>
      <w:r>
        <w:rPr>
          <w:rFonts w:ascii="仿宋_GB2312" w:hAnsi="仿宋_GB2312" w:eastAsia="仿宋_GB2312" w:cs="仿宋_GB2312"/>
          <w:color w:val="auto"/>
          <w:sz w:val="32"/>
          <w:szCs w:val="32"/>
          <w:highlight w:val="none"/>
        </w:rPr>
        <w:t>基准功率之和。</w:t>
      </w:r>
    </w:p>
    <w:p w14:paraId="4C8DC56D">
      <w:pPr>
        <w:pStyle w:val="33"/>
        <w:keepNext w:val="0"/>
        <w:keepLines w:val="0"/>
        <w:pageBreakBefore w:val="0"/>
        <w:widowControl w:val="0"/>
        <w:tabs>
          <w:tab w:val="left" w:pos="6720"/>
        </w:tabs>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szCs w:val="32"/>
          <w:highlight w:val="none"/>
        </w:rPr>
      </w:pPr>
      <w:r>
        <w:rPr>
          <w:rFonts w:ascii="Times New Roman" w:hAnsi="Times New Roman" w:eastAsia="仿宋_GB2312" w:cs="Times New Roman"/>
          <w:bCs/>
          <w:color w:val="auto"/>
          <w:sz w:val="32"/>
          <w:szCs w:val="32"/>
          <w:highlight w:val="none"/>
        </w:rPr>
        <w:t>（三）</w:t>
      </w:r>
      <w:r>
        <w:rPr>
          <w:rFonts w:hint="eastAsia" w:ascii="Times New Roman" w:hAnsi="Times New Roman" w:eastAsia="仿宋_GB2312" w:cs="Times New Roman"/>
          <w:bCs/>
          <w:color w:val="auto"/>
          <w:sz w:val="32"/>
          <w:szCs w:val="32"/>
          <w:highlight w:val="none"/>
          <w:lang w:eastAsia="zh-CN"/>
        </w:rPr>
        <w:t>有功响应</w:t>
      </w:r>
      <w:r>
        <w:rPr>
          <w:rFonts w:ascii="Times New Roman" w:hAnsi="Times New Roman" w:eastAsia="仿宋_GB2312" w:cs="Times New Roman"/>
          <w:bCs/>
          <w:color w:val="auto"/>
          <w:sz w:val="32"/>
          <w:szCs w:val="32"/>
          <w:highlight w:val="none"/>
        </w:rPr>
        <w:t>效果评估。管理中心</w:t>
      </w:r>
      <w:r>
        <w:rPr>
          <w:rFonts w:hint="default" w:ascii="Times New Roman" w:hAnsi="Times New Roman" w:eastAsia="仿宋_GB2312" w:cs="Times New Roman"/>
          <w:color w:val="auto"/>
          <w:sz w:val="32"/>
          <w:szCs w:val="32"/>
          <w:highlight w:val="none"/>
        </w:rPr>
        <w:t>负责统计核定</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color w:val="auto"/>
          <w:sz w:val="32"/>
          <w:szCs w:val="32"/>
          <w:highlight w:val="none"/>
        </w:rPr>
        <w:t>的负荷响应量和响应时间，实时监测、记录并判断响应实施效果。</w:t>
      </w:r>
    </w:p>
    <w:p w14:paraId="3E09FE2B">
      <w:pPr>
        <w:pStyle w:val="33"/>
        <w:keepNext w:val="0"/>
        <w:keepLines w:val="0"/>
        <w:pageBreakBefore w:val="0"/>
        <w:widowControl w:val="0"/>
        <w:tabs>
          <w:tab w:val="left" w:pos="6720"/>
        </w:tabs>
        <w:kinsoku/>
        <w:wordWrap/>
        <w:overflowPunct/>
        <w:topLinePunct w:val="0"/>
        <w:autoSpaceDE/>
        <w:autoSpaceDN/>
        <w:bidi w:val="0"/>
        <w:spacing w:line="560" w:lineRule="exact"/>
        <w:ind w:firstLine="640"/>
        <w:textAlignment w:val="auto"/>
        <w:rPr>
          <w:rFonts w:hint="eastAsia" w:ascii="Times New Roman" w:hAnsi="Times New Roman" w:cs="Times New Roman" w:eastAsiaTheme="minorEastAsia"/>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其中，响应主体执行功率调节结束后的最近一小时内的实际负荷不得超过基线负荷的 H</w:t>
      </w:r>
      <w:r>
        <w:rPr>
          <w:rFonts w:hint="eastAsia" w:ascii="仿宋_GB2312" w:hAnsi="仿宋_GB2312" w:eastAsia="仿宋_GB2312" w:cs="仿宋_GB2312"/>
          <w:color w:val="auto"/>
          <w:sz w:val="32"/>
          <w:szCs w:val="32"/>
          <w:highlight w:val="none"/>
          <w:vertAlign w:val="subscript"/>
          <w:lang w:val="en-US" w:eastAsia="zh-CN"/>
        </w:rPr>
        <w:t>1</w:t>
      </w:r>
      <w:r>
        <w:rPr>
          <w:rFonts w:hint="eastAsia" w:ascii="Times New Roman" w:hAnsi="Times New Roman" w:eastAsia="仿宋_GB2312" w:cs="Times New Roman"/>
          <w:color w:val="auto"/>
          <w:sz w:val="32"/>
          <w:szCs w:val="32"/>
          <w:highlight w:val="none"/>
          <w:lang w:val="en-US" w:eastAsia="zh-CN"/>
        </w:rPr>
        <w:t>%；若该时段基线为 0，则实际负荷不得超过调节开始前的 H</w:t>
      </w:r>
      <w:r>
        <w:rPr>
          <w:rFonts w:hint="eastAsia" w:ascii="仿宋_GB2312" w:hAnsi="仿宋_GB2312" w:eastAsia="仿宋_GB2312" w:cs="仿宋_GB2312"/>
          <w:color w:val="auto"/>
          <w:sz w:val="32"/>
          <w:szCs w:val="32"/>
          <w:highlight w:val="none"/>
          <w:vertAlign w:val="subscript"/>
          <w:lang w:val="en-US" w:eastAsia="zh-CN"/>
        </w:rPr>
        <w:t>2</w:t>
      </w:r>
      <w:r>
        <w:rPr>
          <w:rFonts w:hint="eastAsia" w:ascii="Times New Roman" w:hAnsi="Times New Roman" w:eastAsia="仿宋_GB2312" w:cs="Times New Roman"/>
          <w:color w:val="auto"/>
          <w:sz w:val="32"/>
          <w:szCs w:val="32"/>
          <w:highlight w:val="none"/>
          <w:lang w:val="en-US" w:eastAsia="zh-CN"/>
        </w:rPr>
        <w:t>%。</w:t>
      </w:r>
    </w:p>
    <w:p w14:paraId="402AC6EE">
      <w:pPr>
        <w:pStyle w:val="33"/>
        <w:keepNext w:val="0"/>
        <w:keepLines w:val="0"/>
        <w:pageBreakBefore w:val="0"/>
        <w:widowControl w:val="0"/>
        <w:tabs>
          <w:tab w:val="left" w:pos="6720"/>
        </w:tabs>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依据</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color w:val="auto"/>
          <w:sz w:val="32"/>
          <w:szCs w:val="32"/>
          <w:highlight w:val="none"/>
        </w:rPr>
        <w:t>的实际响应情况</w:t>
      </w:r>
      <w:r>
        <w:rPr>
          <w:rFonts w:ascii="Times New Roman" w:hAnsi="Times New Roman" w:eastAsia="仿宋_GB2312" w:cs="Times New Roman"/>
          <w:color w:val="auto"/>
          <w:sz w:val="32"/>
          <w:szCs w:val="32"/>
          <w:highlight w:val="none"/>
        </w:rPr>
        <w:t>对有效响应容量的效果评估标准</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附录11）</w:t>
      </w:r>
      <w:r>
        <w:rPr>
          <w:rFonts w:hint="eastAsia" w:ascii="Times New Roman" w:hAnsi="Times New Roman" w:eastAsia="仿宋_GB2312" w:cs="Times New Roman"/>
          <w:color w:val="auto"/>
          <w:sz w:val="32"/>
          <w:szCs w:val="32"/>
          <w:highlight w:val="none"/>
          <w:lang w:eastAsia="zh-CN"/>
        </w:rPr>
        <w:t>。</w:t>
      </w:r>
    </w:p>
    <w:p w14:paraId="07B10A3A">
      <w:pPr>
        <w:pStyle w:val="33"/>
        <w:keepNext w:val="0"/>
        <w:keepLines w:val="0"/>
        <w:pageBreakBefore w:val="0"/>
        <w:widowControl w:val="0"/>
        <w:numPr>
          <w:ilvl w:val="0"/>
          <w:numId w:val="5"/>
        </w:numPr>
        <w:tabs>
          <w:tab w:val="left" w:pos="6720"/>
        </w:tabs>
        <w:kinsoku/>
        <w:wordWrap/>
        <w:overflowPunct/>
        <w:topLinePunct w:val="0"/>
        <w:autoSpaceDE/>
        <w:autoSpaceDN/>
        <w:bidi w:val="0"/>
        <w:spacing w:line="560" w:lineRule="exact"/>
        <w:ind w:firstLine="732" w:firstLineChars="228"/>
        <w:textAlignment w:val="auto"/>
        <w:rPr>
          <w:rFonts w:hint="default"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备用服务</w:t>
      </w:r>
    </w:p>
    <w:p w14:paraId="0A3B9FD5">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仿宋_GB2312"/>
          <w:bCs/>
          <w:color w:val="auto"/>
          <w:sz w:val="32"/>
          <w:szCs w:val="48"/>
          <w:highlight w:val="none"/>
        </w:rPr>
      </w:pPr>
      <w:r>
        <w:rPr>
          <w:rFonts w:hint="eastAsia" w:ascii="方正仿宋_GBK" w:eastAsia="仿宋_GB2312"/>
          <w:bCs/>
          <w:color w:val="auto"/>
          <w:sz w:val="32"/>
          <w:szCs w:val="48"/>
          <w:highlight w:val="none"/>
        </w:rPr>
        <w:t>（一）备用服务执行。按备用服务响应时间和实际调用情况开展效果评估。</w:t>
      </w:r>
    </w:p>
    <w:p w14:paraId="3A6F1FC6">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方正仿宋_GBK" w:eastAsia="仿宋_GB2312"/>
          <w:bCs/>
          <w:color w:val="auto"/>
          <w:sz w:val="32"/>
          <w:szCs w:val="48"/>
          <w:highlight w:val="none"/>
          <w:lang w:val="en-US"/>
        </w:rPr>
      </w:pPr>
      <w:r>
        <w:rPr>
          <w:rFonts w:hint="eastAsia" w:ascii="方正仿宋_GBK" w:eastAsia="仿宋_GB2312"/>
          <w:bCs/>
          <w:color w:val="auto"/>
          <w:sz w:val="32"/>
          <w:szCs w:val="48"/>
          <w:highlight w:val="none"/>
        </w:rPr>
        <w:t>①未被调用时</w:t>
      </w:r>
      <w:r>
        <w:rPr>
          <w:rFonts w:hint="eastAsia" w:ascii="方正仿宋_GBK" w:eastAsia="仿宋_GB2312"/>
          <w:bCs/>
          <w:color w:val="auto"/>
          <w:sz w:val="32"/>
          <w:szCs w:val="48"/>
          <w:highlight w:val="none"/>
          <w:lang w:val="en-US" w:eastAsia="zh-CN"/>
        </w:rPr>
        <w:t>段</w:t>
      </w:r>
      <w:r>
        <w:rPr>
          <w:rFonts w:hint="eastAsia" w:ascii="方正仿宋_GBK" w:eastAsia="仿宋_GB2312"/>
          <w:bCs/>
          <w:color w:val="auto"/>
          <w:sz w:val="32"/>
          <w:szCs w:val="48"/>
          <w:highlight w:val="none"/>
        </w:rPr>
        <w:t>，</w:t>
      </w:r>
      <w:r>
        <w:rPr>
          <w:rFonts w:hint="eastAsia" w:hAnsi="Cambria Math" w:eastAsia="仿宋_GB2312"/>
          <w:bCs/>
          <w:i w:val="0"/>
          <w:color w:val="auto"/>
          <w:sz w:val="32"/>
          <w:szCs w:val="48"/>
          <w:highlight w:val="none"/>
          <w:lang w:val="en-US" w:eastAsia="zh-CN"/>
        </w:rPr>
        <w:t>备用容量</w:t>
      </w:r>
      <w:r>
        <w:rPr>
          <w:rFonts w:hint="eastAsia" w:hAnsi="Cambria Math" w:eastAsia="仿宋_GB2312"/>
          <w:bCs/>
          <w:color w:val="auto"/>
          <w:sz w:val="32"/>
          <w:szCs w:val="48"/>
          <w:highlight w:val="none"/>
        </w:rPr>
        <w:t>补贴</w:t>
      </w:r>
      <w:r>
        <w:rPr>
          <w:rFonts w:hint="eastAsia" w:hAnsi="Cambria Math" w:eastAsia="仿宋_GB2312"/>
          <w:bCs/>
          <w:color w:val="auto"/>
          <w:sz w:val="32"/>
          <w:szCs w:val="48"/>
          <w:highlight w:val="none"/>
          <w:lang w:val="en-US" w:eastAsia="zh-CN"/>
        </w:rPr>
        <w:t>依据分时</w:t>
      </w:r>
      <w:r>
        <w:rPr>
          <w:rFonts w:hint="eastAsia" w:eastAsia="仿宋_GB2312" w:cs="仿宋_GB2312"/>
          <w:color w:val="auto"/>
          <w:sz w:val="32"/>
          <w:szCs w:val="32"/>
          <w:highlight w:val="none"/>
          <w:lang w:val="en-US" w:eastAsia="zh-CN"/>
        </w:rPr>
        <w:t>设置补贴价格阶梯，补贴价格参数取值（附录11）。</w:t>
      </w:r>
    </w:p>
    <w:p w14:paraId="6F2535D6">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仿宋_GB2312"/>
          <w:bCs/>
          <w:color w:val="auto"/>
          <w:sz w:val="32"/>
          <w:szCs w:val="48"/>
          <w:highlight w:val="none"/>
        </w:rPr>
      </w:pPr>
      <w:r>
        <w:rPr>
          <w:rFonts w:hint="eastAsia" w:ascii="方正仿宋_GBK" w:eastAsia="仿宋_GB2312"/>
          <w:bCs/>
          <w:color w:val="auto"/>
          <w:sz w:val="32"/>
          <w:szCs w:val="48"/>
          <w:highlight w:val="none"/>
        </w:rPr>
        <w:t>②被调用时</w:t>
      </w:r>
      <w:r>
        <w:rPr>
          <w:rFonts w:hint="eastAsia" w:ascii="方正仿宋_GBK" w:eastAsia="仿宋_GB2312"/>
          <w:bCs/>
          <w:color w:val="auto"/>
          <w:sz w:val="32"/>
          <w:szCs w:val="48"/>
          <w:highlight w:val="none"/>
          <w:lang w:val="en-US" w:eastAsia="zh-CN"/>
        </w:rPr>
        <w:t>段</w:t>
      </w:r>
      <w:r>
        <w:rPr>
          <w:rFonts w:hint="eastAsia" w:ascii="方正仿宋_GBK" w:eastAsia="仿宋_GB2312"/>
          <w:bCs/>
          <w:color w:val="auto"/>
          <w:sz w:val="32"/>
          <w:szCs w:val="48"/>
          <w:highlight w:val="none"/>
        </w:rPr>
        <w:t>，以15分钟作为一个评估时段，当实际响应容量大于或等于备用容量的80%时，认定该评估时段有效响应；当有效响应时段占总被调用时段的比例大于等于75%时，认定响应主体有效完成响应任务，按实际响应量计算有效响应容量；否则认定响应主体未能有效完成该时段响应任务，视为无效响应。</w:t>
      </w:r>
    </w:p>
    <w:p w14:paraId="06F81A21">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仿宋_GB2312"/>
          <w:bCs/>
          <w:color w:val="auto"/>
          <w:sz w:val="32"/>
          <w:szCs w:val="48"/>
          <w:highlight w:val="none"/>
        </w:rPr>
      </w:pPr>
      <w:r>
        <w:rPr>
          <w:rFonts w:hint="eastAsia" w:ascii="方正仿宋_GBK" w:eastAsia="仿宋_GB2312"/>
          <w:bCs/>
          <w:color w:val="auto"/>
          <w:sz w:val="32"/>
          <w:szCs w:val="48"/>
          <w:highlight w:val="none"/>
        </w:rPr>
        <w:t>③</w:t>
      </w:r>
      <w:r>
        <w:rPr>
          <w:rFonts w:hint="eastAsia" w:ascii="方正仿宋_GBK" w:eastAsia="仿宋_GB2312"/>
          <w:bCs/>
          <w:color w:val="auto"/>
          <w:sz w:val="32"/>
          <w:szCs w:val="48"/>
          <w:highlight w:val="none"/>
          <w:lang w:val="en-US" w:eastAsia="zh-CN"/>
        </w:rPr>
        <w:t>培育</w:t>
      </w:r>
      <w:r>
        <w:rPr>
          <w:rFonts w:hint="eastAsia" w:ascii="方正仿宋_GBK" w:eastAsia="仿宋_GB2312"/>
          <w:bCs/>
          <w:color w:val="auto"/>
          <w:sz w:val="32"/>
          <w:szCs w:val="48"/>
          <w:highlight w:val="none"/>
        </w:rPr>
        <w:t>初期，</w:t>
      </w:r>
      <w:r>
        <w:rPr>
          <w:rFonts w:hint="eastAsia" w:ascii="方正仿宋_GBK" w:eastAsia="仿宋_GB2312"/>
          <w:bCs/>
          <w:color w:val="auto"/>
          <w:sz w:val="32"/>
          <w:szCs w:val="48"/>
          <w:highlight w:val="none"/>
          <w:lang w:val="en-US" w:eastAsia="zh-CN"/>
        </w:rPr>
        <w:t>若</w:t>
      </w:r>
      <w:r>
        <w:rPr>
          <w:rFonts w:hint="eastAsia" w:ascii="方正仿宋_GBK" w:eastAsia="仿宋_GB2312"/>
          <w:bCs/>
          <w:color w:val="auto"/>
          <w:sz w:val="32"/>
          <w:szCs w:val="48"/>
          <w:highlight w:val="none"/>
        </w:rPr>
        <w:t>备用资源的备用时长达</w:t>
      </w:r>
      <w:r>
        <w:rPr>
          <w:rFonts w:hint="eastAsia" w:ascii="仿宋_GB2312" w:hAnsi="仿宋_GB2312" w:eastAsia="仿宋_GB2312" w:cs="仿宋_GB2312"/>
          <w:color w:val="auto"/>
          <w:sz w:val="30"/>
          <w:szCs w:val="30"/>
          <w:highlight w:val="none"/>
          <w:lang w:val="en-US" w:eastAsia="zh-CN"/>
        </w:rPr>
        <w:t>T</w:t>
      </w:r>
      <w:r>
        <w:rPr>
          <w:rFonts w:hint="eastAsia" w:ascii="仿宋_GB2312" w:hAnsi="仿宋_GB2312" w:eastAsia="仿宋_GB2312" w:cs="仿宋_GB2312"/>
          <w:color w:val="auto"/>
          <w:sz w:val="30"/>
          <w:szCs w:val="30"/>
          <w:highlight w:val="none"/>
          <w:vertAlign w:val="subscript"/>
          <w:lang w:val="en-US" w:eastAsia="zh-CN"/>
        </w:rPr>
        <w:t>3</w:t>
      </w:r>
      <w:r>
        <w:rPr>
          <w:rFonts w:hint="eastAsia" w:ascii="方正仿宋_GBK" w:eastAsia="仿宋_GB2312"/>
          <w:bCs/>
          <w:color w:val="auto"/>
          <w:sz w:val="32"/>
          <w:szCs w:val="48"/>
          <w:highlight w:val="none"/>
        </w:rPr>
        <w:t>及以上且未被实际调用，管理中心将组织对</w:t>
      </w:r>
      <w:r>
        <w:rPr>
          <w:rFonts w:hint="eastAsia" w:ascii="方正仿宋_GBK" w:eastAsia="仿宋_GB2312"/>
          <w:bCs/>
          <w:color w:val="auto"/>
          <w:sz w:val="32"/>
          <w:szCs w:val="48"/>
          <w:highlight w:val="none"/>
          <w:lang w:val="en-US" w:eastAsia="zh-CN"/>
        </w:rPr>
        <w:t>响应主体及备用</w:t>
      </w:r>
      <w:r>
        <w:rPr>
          <w:rFonts w:hint="eastAsia" w:ascii="方正仿宋_GBK" w:eastAsia="仿宋_GB2312"/>
          <w:bCs/>
          <w:color w:val="auto"/>
          <w:sz w:val="32"/>
          <w:szCs w:val="48"/>
          <w:highlight w:val="none"/>
        </w:rPr>
        <w:t>资源进行调用测试。</w:t>
      </w:r>
      <w:r>
        <w:rPr>
          <w:rFonts w:hint="eastAsia" w:ascii="方正仿宋_GBK" w:eastAsia="仿宋_GB2312"/>
          <w:bCs/>
          <w:color w:val="auto"/>
          <w:sz w:val="32"/>
          <w:szCs w:val="48"/>
          <w:highlight w:val="none"/>
          <w:lang w:val="en-US" w:eastAsia="zh-CN"/>
        </w:rPr>
        <w:t>若</w:t>
      </w:r>
      <w:r>
        <w:rPr>
          <w:rFonts w:hint="eastAsia" w:ascii="方正仿宋_GBK" w:eastAsia="仿宋_GB2312"/>
          <w:bCs/>
          <w:color w:val="auto"/>
          <w:sz w:val="32"/>
          <w:szCs w:val="48"/>
          <w:highlight w:val="none"/>
        </w:rPr>
        <w:t>调节响应不达标或测试未通过，则将</w:t>
      </w:r>
      <w:r>
        <w:rPr>
          <w:rFonts w:hint="eastAsia" w:ascii="方正仿宋_GBK" w:eastAsia="仿宋_GB2312"/>
          <w:bCs/>
          <w:color w:val="auto"/>
          <w:sz w:val="32"/>
          <w:szCs w:val="48"/>
          <w:highlight w:val="none"/>
          <w:lang w:val="en-US" w:eastAsia="zh-CN"/>
        </w:rPr>
        <w:t>此次测试</w:t>
      </w:r>
      <w:r>
        <w:rPr>
          <w:rFonts w:hint="eastAsia" w:ascii="方正仿宋_GBK" w:eastAsia="仿宋_GB2312"/>
          <w:bCs/>
          <w:color w:val="auto"/>
          <w:sz w:val="32"/>
          <w:szCs w:val="48"/>
          <w:highlight w:val="none"/>
        </w:rPr>
        <w:t>纳入</w:t>
      </w:r>
      <w:r>
        <w:rPr>
          <w:rFonts w:hint="eastAsia" w:ascii="方正仿宋_GBK" w:eastAsia="仿宋_GB2312"/>
          <w:bCs/>
          <w:color w:val="auto"/>
          <w:sz w:val="32"/>
          <w:szCs w:val="48"/>
          <w:highlight w:val="none"/>
          <w:lang w:val="en-US" w:eastAsia="zh-CN"/>
        </w:rPr>
        <w:t>本</w:t>
      </w:r>
      <w:r>
        <w:rPr>
          <w:rFonts w:hint="eastAsia" w:ascii="方正仿宋_GBK" w:eastAsia="仿宋_GB2312"/>
          <w:bCs/>
          <w:color w:val="auto"/>
          <w:sz w:val="32"/>
          <w:szCs w:val="48"/>
          <w:highlight w:val="none"/>
        </w:rPr>
        <w:t>季度无效响应次数统计</w:t>
      </w:r>
      <w:r>
        <w:rPr>
          <w:rFonts w:hint="eastAsia" w:ascii="方正仿宋_GBK" w:eastAsia="仿宋_GB2312"/>
          <w:bCs/>
          <w:color w:val="auto"/>
          <w:sz w:val="32"/>
          <w:szCs w:val="48"/>
          <w:highlight w:val="none"/>
          <w:lang w:eastAsia="zh-CN"/>
        </w:rPr>
        <w:t>。</w:t>
      </w:r>
    </w:p>
    <w:p w14:paraId="3E3D036A">
      <w:pPr>
        <w:pStyle w:val="33"/>
        <w:keepNext w:val="0"/>
        <w:keepLines w:val="0"/>
        <w:pageBreakBefore w:val="0"/>
        <w:widowControl w:val="0"/>
        <w:numPr>
          <w:ilvl w:val="0"/>
          <w:numId w:val="5"/>
        </w:numPr>
        <w:tabs>
          <w:tab w:val="left" w:pos="6720"/>
        </w:tabs>
        <w:kinsoku/>
        <w:wordWrap/>
        <w:overflowPunct/>
        <w:topLinePunct w:val="0"/>
        <w:autoSpaceDE/>
        <w:autoSpaceDN/>
        <w:bidi w:val="0"/>
        <w:spacing w:line="560" w:lineRule="exact"/>
        <w:ind w:firstLine="732" w:firstLineChars="228"/>
        <w:textAlignment w:val="auto"/>
        <w:rPr>
          <w:rFonts w:hint="default"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无功调节</w:t>
      </w:r>
    </w:p>
    <w:p w14:paraId="64AA8CEE">
      <w:pPr>
        <w:pStyle w:val="28"/>
        <w:keepNext w:val="0"/>
        <w:keepLines w:val="0"/>
        <w:pageBreakBefore w:val="0"/>
        <w:widowControl w:val="0"/>
        <w:tabs>
          <w:tab w:val="left" w:pos="0"/>
        </w:tabs>
        <w:kinsoku/>
        <w:wordWrap/>
        <w:overflowPunct/>
        <w:topLinePunct w:val="0"/>
        <w:autoSpaceDE/>
        <w:autoSpaceDN/>
        <w:bidi w:val="0"/>
        <w:adjustRightInd w:val="0"/>
        <w:snapToGrid w:val="0"/>
        <w:spacing w:line="560" w:lineRule="exact"/>
        <w:ind w:firstLine="640"/>
        <w:textAlignment w:val="auto"/>
        <w:rPr>
          <w:rFonts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用户无功基准功率，分工作日、周六、周日、法定节假日和调休节假日五种类型。</w:t>
      </w:r>
    </w:p>
    <w:p w14:paraId="662EF4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响应主体</w:t>
      </w:r>
      <w:r>
        <w:rPr>
          <w:rFonts w:hint="eastAsia" w:ascii="仿宋_GB2312" w:hAnsi="仿宋_GB2312" w:eastAsia="仿宋_GB2312" w:cs="仿宋_GB2312"/>
          <w:bCs/>
          <w:color w:val="auto"/>
          <w:sz w:val="32"/>
          <w:szCs w:val="32"/>
          <w:highlight w:val="none"/>
        </w:rPr>
        <w:t>无功调节基准功率为判定无功调节执行效果的依据，无功调节基准功率指未实施无功调节时响应资源的无功功率。现阶段，无功调节基准功率以</w:t>
      </w:r>
      <w:r>
        <w:rPr>
          <w:rFonts w:hint="eastAsia" w:ascii="仿宋_GB2312" w:hAnsi="仿宋_GB2312" w:eastAsia="仿宋_GB2312" w:cs="仿宋_GB2312"/>
          <w:bCs/>
          <w:color w:val="auto"/>
          <w:sz w:val="32"/>
          <w:szCs w:val="32"/>
          <w:highlight w:val="none"/>
          <w:lang w:val="en-US" w:eastAsia="zh-CN"/>
        </w:rPr>
        <w:t>一小时</w:t>
      </w:r>
      <w:r>
        <w:rPr>
          <w:rFonts w:hint="eastAsia" w:ascii="仿宋_GB2312" w:hAnsi="仿宋_GB2312" w:eastAsia="仿宋_GB2312" w:cs="仿宋_GB2312"/>
          <w:bCs/>
          <w:color w:val="auto"/>
          <w:sz w:val="32"/>
          <w:szCs w:val="32"/>
          <w:highlight w:val="none"/>
        </w:rPr>
        <w:t>无功平均功率计算。</w:t>
      </w:r>
    </w:p>
    <w:p w14:paraId="403FFAA0">
      <w:pPr>
        <w:keepNext w:val="0"/>
        <w:keepLines w:val="0"/>
        <w:pageBreakBefore w:val="0"/>
        <w:widowControl w:val="0"/>
        <w:tabs>
          <w:tab w:val="left" w:pos="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Cs/>
          <w:color w:val="auto"/>
          <w:sz w:val="32"/>
          <w:szCs w:val="32"/>
          <w:highlight w:val="none"/>
          <w:lang w:eastAsia="zh-CN"/>
        </w:rPr>
        <w:t>用户</w:t>
      </w:r>
      <w:r>
        <w:rPr>
          <w:rFonts w:hint="eastAsia" w:ascii="仿宋_GB2312" w:hAnsi="仿宋_GB2312" w:eastAsia="仿宋_GB2312" w:cs="仿宋_GB2312"/>
          <w:bCs/>
          <w:color w:val="auto"/>
          <w:sz w:val="32"/>
          <w:szCs w:val="32"/>
          <w:highlight w:val="none"/>
        </w:rPr>
        <w:t>无功调节基准功率制定分工作日、周六、周日、法定节假日和调休节假日五种类型。工作日选取</w:t>
      </w:r>
      <w:r>
        <w:rPr>
          <w:rFonts w:hint="eastAsia" w:ascii="仿宋_GB2312" w:hAnsi="仿宋_GB2312" w:eastAsia="仿宋_GB2312" w:cs="仿宋_GB2312"/>
          <w:color w:val="auto"/>
          <w:sz w:val="32"/>
          <w:szCs w:val="32"/>
          <w:highlight w:val="none"/>
        </w:rPr>
        <w:t>选取D-</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日及以前日期的与运行日（D日）同类型日</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最近</w:t>
      </w:r>
      <w:r>
        <w:rPr>
          <w:rFonts w:hint="eastAsia" w:ascii="仿宋_GB2312" w:hAnsi="仿宋_GB2312" w:eastAsia="仿宋_GB2312" w:cs="仿宋_GB2312"/>
          <w:bCs/>
          <w:color w:val="auto"/>
          <w:sz w:val="32"/>
          <w:szCs w:val="32"/>
          <w:highlight w:val="none"/>
        </w:rPr>
        <w:t>的不参与无功调节的工作日负荷作为负荷样本，剔除日电量低于5个样本日均无功电量25%或高于5个样本日均无功电量200%的样本后，剔除后不足5个样本的继续向前选择，直至满5个样本为止。因调休导致的周末上班日视为工作日。周六、周日、法定节假日、调休节假日的无功调节基准功率制定参照工作日，将选取样本数调整为3个，其中调休节假日的样本选取参考周日无功调节基准功率制定，但不纳入正常周日无功调节基准功率计算样本库。无功调节基准功率以</w:t>
      </w:r>
      <w:r>
        <w:rPr>
          <w:rFonts w:hint="eastAsia" w:ascii="仿宋_GB2312" w:hAnsi="仿宋_GB2312" w:eastAsia="仿宋_GB2312" w:cs="仿宋_GB2312"/>
          <w:bCs/>
          <w:color w:val="auto"/>
          <w:sz w:val="32"/>
          <w:szCs w:val="32"/>
          <w:highlight w:val="none"/>
          <w:lang w:eastAsia="zh-CN"/>
        </w:rPr>
        <w:t>用户</w:t>
      </w:r>
      <w:r>
        <w:rPr>
          <w:rFonts w:hint="eastAsia" w:ascii="仿宋_GB2312" w:hAnsi="仿宋_GB2312" w:eastAsia="仿宋_GB2312" w:cs="仿宋_GB2312"/>
          <w:bCs/>
          <w:color w:val="auto"/>
          <w:sz w:val="32"/>
          <w:szCs w:val="32"/>
          <w:highlight w:val="none"/>
        </w:rPr>
        <w:t>为单元计算。虚拟电厂运营商的无功调节基准功率为聚合的</w:t>
      </w:r>
      <w:r>
        <w:rPr>
          <w:rFonts w:hint="eastAsia" w:ascii="仿宋_GB2312" w:hAnsi="仿宋_GB2312" w:eastAsia="仿宋_GB2312" w:cs="仿宋_GB2312"/>
          <w:bCs/>
          <w:color w:val="auto"/>
          <w:sz w:val="32"/>
          <w:szCs w:val="32"/>
          <w:highlight w:val="none"/>
          <w:lang w:eastAsia="zh-CN"/>
        </w:rPr>
        <w:t>用户</w:t>
      </w:r>
      <w:r>
        <w:rPr>
          <w:rFonts w:hint="eastAsia" w:ascii="仿宋_GB2312" w:hAnsi="仿宋_GB2312" w:eastAsia="仿宋_GB2312" w:cs="仿宋_GB2312"/>
          <w:bCs/>
          <w:color w:val="auto"/>
          <w:sz w:val="32"/>
          <w:szCs w:val="32"/>
          <w:highlight w:val="none"/>
        </w:rPr>
        <w:t>无功调节基准功率之和。</w:t>
      </w:r>
    </w:p>
    <w:p w14:paraId="0EFBA81C">
      <w:pPr>
        <w:pStyle w:val="28"/>
        <w:keepNext w:val="0"/>
        <w:keepLines w:val="0"/>
        <w:pageBreakBefore w:val="0"/>
        <w:widowControl w:val="0"/>
        <w:numPr>
          <w:ilvl w:val="1"/>
          <w:numId w:val="4"/>
        </w:numPr>
        <w:kinsoku/>
        <w:wordWrap/>
        <w:overflowPunct/>
        <w:topLinePunct w:val="0"/>
        <w:autoSpaceDE/>
        <w:autoSpaceDN/>
        <w:bidi w:val="0"/>
        <w:adjustRightInd w:val="0"/>
        <w:snapToGrid w:val="0"/>
        <w:spacing w:line="560" w:lineRule="exact"/>
        <w:ind w:firstLineChars="0"/>
        <w:jc w:val="center"/>
        <w:textAlignment w:val="auto"/>
        <w:outlineLvl w:val="1"/>
        <w:rPr>
          <w:rFonts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rPr>
        <w:t>收益结算</w:t>
      </w:r>
    </w:p>
    <w:p w14:paraId="47CD8A5C">
      <w:pPr>
        <w:pStyle w:val="33"/>
        <w:keepNext w:val="0"/>
        <w:keepLines w:val="0"/>
        <w:pageBreakBefore w:val="0"/>
        <w:widowControl w:val="0"/>
        <w:numPr>
          <w:ilvl w:val="0"/>
          <w:numId w:val="5"/>
        </w:numPr>
        <w:tabs>
          <w:tab w:val="left" w:pos="6720"/>
        </w:tabs>
        <w:kinsoku/>
        <w:wordWrap/>
        <w:overflowPunct/>
        <w:topLinePunct w:val="0"/>
        <w:autoSpaceDE/>
        <w:autoSpaceDN/>
        <w:bidi w:val="0"/>
        <w:spacing w:line="560" w:lineRule="exact"/>
        <w:ind w:firstLine="732" w:firstLineChars="228"/>
        <w:textAlignment w:val="auto"/>
        <w:rPr>
          <w:rFonts w:hint="default" w:ascii="Times New Roman" w:hAnsi="Times New Roman" w:eastAsia="仿宋_GB2312" w:cs="Times New Roman"/>
          <w:b/>
          <w:color w:val="auto"/>
          <w:sz w:val="32"/>
          <w:szCs w:val="32"/>
          <w:highlight w:val="none"/>
        </w:rPr>
      </w:pPr>
      <w:r>
        <w:rPr>
          <w:rFonts w:hint="eastAsia" w:ascii="Times New Roman" w:hAnsi="Times New Roman" w:eastAsia="仿宋_GB2312" w:cs="Times New Roman"/>
          <w:b/>
          <w:color w:val="auto"/>
          <w:sz w:val="32"/>
          <w:szCs w:val="32"/>
          <w:highlight w:val="none"/>
          <w:lang w:eastAsia="zh-CN"/>
        </w:rPr>
        <w:t>有功响应</w:t>
      </w:r>
    </w:p>
    <w:p w14:paraId="42578360">
      <w:pPr>
        <w:pStyle w:val="33"/>
        <w:keepNext w:val="0"/>
        <w:keepLines w:val="0"/>
        <w:pageBreakBefore w:val="0"/>
        <w:widowControl w:val="0"/>
        <w:tabs>
          <w:tab w:val="left" w:pos="6720"/>
        </w:tabs>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szCs w:val="32"/>
          <w:highlight w:val="none"/>
        </w:rPr>
      </w:pPr>
      <w:r>
        <w:rPr>
          <w:rFonts w:ascii="Times New Roman" w:hAnsi="Times New Roman" w:eastAsia="仿宋_GB2312" w:cs="Times New Roman"/>
          <w:bCs/>
          <w:color w:val="auto"/>
          <w:sz w:val="32"/>
          <w:szCs w:val="32"/>
          <w:highlight w:val="none"/>
        </w:rPr>
        <w:t>（一）</w:t>
      </w:r>
      <w:r>
        <w:rPr>
          <w:rFonts w:hint="eastAsia" w:ascii="Times New Roman" w:hAnsi="Times New Roman" w:eastAsia="仿宋_GB2312" w:cs="Times New Roman"/>
          <w:bCs/>
          <w:color w:val="auto"/>
          <w:sz w:val="32"/>
          <w:szCs w:val="32"/>
          <w:highlight w:val="none"/>
          <w:lang w:eastAsia="zh-CN"/>
        </w:rPr>
        <w:t>有功响应</w:t>
      </w:r>
      <w:r>
        <w:rPr>
          <w:rFonts w:ascii="Times New Roman" w:hAnsi="Times New Roman" w:eastAsia="仿宋_GB2312" w:cs="Times New Roman"/>
          <w:bCs/>
          <w:color w:val="auto"/>
          <w:sz w:val="32"/>
          <w:szCs w:val="32"/>
          <w:highlight w:val="none"/>
        </w:rPr>
        <w:t>收益结算。响应</w:t>
      </w:r>
      <w:r>
        <w:rPr>
          <w:rFonts w:hint="default" w:ascii="Times New Roman" w:hAnsi="Times New Roman" w:eastAsia="仿宋_GB2312" w:cs="Times New Roman"/>
          <w:bCs/>
          <w:color w:val="auto"/>
          <w:sz w:val="32"/>
          <w:szCs w:val="32"/>
          <w:highlight w:val="none"/>
        </w:rPr>
        <w:t>补贴费用=有效响应电量×</w:t>
      </w:r>
      <w:r>
        <w:rPr>
          <w:rFonts w:ascii="Times New Roman" w:hAnsi="Times New Roman" w:eastAsia="仿宋_GB2312" w:cs="Times New Roman"/>
          <w:bCs/>
          <w:color w:val="auto"/>
          <w:sz w:val="32"/>
          <w:szCs w:val="32"/>
          <w:highlight w:val="none"/>
        </w:rPr>
        <w:t>补贴价格</w:t>
      </w:r>
      <w:r>
        <w:rPr>
          <w:rFonts w:hint="default" w:ascii="Times New Roman" w:hAnsi="Times New Roman" w:eastAsia="仿宋_GB2312" w:cs="Times New Roman"/>
          <w:bCs/>
          <w:color w:val="auto"/>
          <w:sz w:val="32"/>
          <w:szCs w:val="32"/>
          <w:highlight w:val="none"/>
        </w:rPr>
        <w:t>×响应系数</w:t>
      </w:r>
      <w:r>
        <w:rPr>
          <w:rFonts w:hint="default" w:ascii="Times New Roman" w:hAnsi="Times New Roman" w:eastAsia="仿宋_GB2312" w:cs="Times New Roman"/>
          <w:color w:val="auto"/>
          <w:sz w:val="32"/>
          <w:szCs w:val="32"/>
          <w:highlight w:val="none"/>
        </w:rPr>
        <w:t>。</w:t>
      </w:r>
    </w:p>
    <w:p w14:paraId="66E601CB">
      <w:pPr>
        <w:pStyle w:val="31"/>
        <w:keepNext w:val="0"/>
        <w:keepLines w:val="0"/>
        <w:pageBreakBefore w:val="0"/>
        <w:widowControl w:val="0"/>
        <w:kinsoku/>
        <w:wordWrap/>
        <w:overflowPunct/>
        <w:topLinePunct w:val="0"/>
        <w:autoSpaceDE/>
        <w:autoSpaceDN/>
        <w:bidi w:val="0"/>
        <w:ind w:firstLine="640"/>
        <w:textAlignment w:val="auto"/>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有功响应</w:t>
      </w:r>
      <w:r>
        <w:rPr>
          <w:rFonts w:ascii="Times New Roman" w:hAnsi="Times New Roman" w:eastAsia="仿宋_GB2312" w:cs="Times New Roman"/>
          <w:color w:val="auto"/>
          <w:sz w:val="32"/>
          <w:szCs w:val="32"/>
          <w:highlight w:val="none"/>
        </w:rPr>
        <w:t>结算计算公式为：</w:t>
      </w:r>
    </w:p>
    <w:p w14:paraId="06EEC6FD">
      <w:pPr>
        <w:spacing w:line="560" w:lineRule="exact"/>
        <w:ind w:firstLine="640" w:firstLineChars="200"/>
        <w:jc w:val="center"/>
        <w:rPr>
          <w:rFonts w:hAnsi="Cambria Math" w:cs="Cambria Math"/>
          <w:i w:val="0"/>
          <w:color w:val="auto"/>
          <w:sz w:val="32"/>
          <w:szCs w:val="32"/>
          <w:highlight w:val="none"/>
        </w:rPr>
      </w:pPr>
      <m:oMathPara>
        <m:oMath>
          <m:sSub>
            <m:sSubPr>
              <m:ctrlPr>
                <w:rPr>
                  <w:rFonts w:ascii="Cambria Math" w:hAnsi="Cambria Math" w:cs="Times New Roman"/>
                  <w:i/>
                  <w:color w:val="auto"/>
                  <w:sz w:val="32"/>
                  <w:szCs w:val="32"/>
                  <w:highlight w:val="none"/>
                </w:rPr>
              </m:ctrlPr>
            </m:sSubPr>
            <m:e>
              <m:r>
                <m:rPr/>
                <w:rPr>
                  <w:rFonts w:ascii="Cambria Math" w:hAnsi="Cambria Math" w:cs="Times New Roman"/>
                  <w:color w:val="auto"/>
                  <w:sz w:val="32"/>
                  <w:szCs w:val="32"/>
                  <w:highlight w:val="none"/>
                </w:rPr>
                <m:t>R</m:t>
              </m:r>
              <m:ctrlPr>
                <w:rPr>
                  <w:rFonts w:ascii="Cambria Math" w:hAnsi="Cambria Math" w:cs="Times New Roman"/>
                  <w:i/>
                  <w:color w:val="auto"/>
                  <w:sz w:val="32"/>
                  <w:szCs w:val="32"/>
                  <w:highlight w:val="none"/>
                </w:rPr>
              </m:ctrlPr>
            </m:e>
            <m:sub>
              <m:r>
                <m:rPr>
                  <m:sty m:val="p"/>
                </m:rPr>
                <w:rPr>
                  <w:rFonts w:hint="eastAsia" w:ascii="Cambria Math" w:hAnsi="Cambria Math" w:eastAsia="方正仿宋_GB2312" w:cs="方正仿宋_GB2312"/>
                  <w:color w:val="auto"/>
                  <w:sz w:val="32"/>
                  <w:szCs w:val="32"/>
                  <w:highlight w:val="none"/>
                </w:rPr>
                <m:t>响应补贴</m:t>
              </m:r>
              <m:ctrlPr>
                <w:rPr>
                  <w:rFonts w:hint="eastAsia" w:ascii="Cambria Math" w:hAnsi="Cambria Math" w:cs="Times New Roman"/>
                  <w:i/>
                  <w:color w:val="auto"/>
                  <w:sz w:val="32"/>
                  <w:szCs w:val="32"/>
                  <w:highlight w:val="none"/>
                </w:rPr>
              </m:ctrlPr>
            </m:sub>
          </m:sSub>
          <m:r>
            <m:rPr/>
            <w:rPr>
              <w:rFonts w:ascii="Cambria Math" w:hAnsi="Cambria Math" w:cs="Times New Roman"/>
              <w:color w:val="auto"/>
              <w:sz w:val="32"/>
              <w:szCs w:val="32"/>
              <w:highlight w:val="none"/>
            </w:rPr>
            <m:t>=</m:t>
          </m:r>
          <m:nary>
            <m:naryPr>
              <m:chr m:val="∑"/>
              <m:limLoc m:val="undOvr"/>
              <m:subHide m:val="1"/>
              <m:supHide m:val="1"/>
              <m:ctrlPr>
                <w:rPr>
                  <w:rFonts w:hint="eastAsia" w:ascii="Cambria Math" w:hAnsi="Cambria Math" w:eastAsia="仿宋_GB2312"/>
                  <w:color w:val="auto"/>
                  <w:sz w:val="32"/>
                  <w:szCs w:val="48"/>
                  <w:highlight w:val="none"/>
                </w:rPr>
              </m:ctrlPr>
            </m:naryPr>
            <m:sub>
              <m:ctrlPr>
                <w:rPr>
                  <w:rFonts w:hint="eastAsia" w:ascii="Cambria Math" w:hAnsi="Cambria Math" w:eastAsia="仿宋_GB2312"/>
                  <w:color w:val="auto"/>
                  <w:sz w:val="32"/>
                  <w:szCs w:val="48"/>
                  <w:highlight w:val="none"/>
                </w:rPr>
              </m:ctrlPr>
            </m:sub>
            <m:sup>
              <m:ctrlPr>
                <w:rPr>
                  <w:rFonts w:hint="eastAsia" w:ascii="Cambria Math" w:hAnsi="Cambria Math" w:eastAsia="仿宋_GB2312"/>
                  <w:color w:val="auto"/>
                  <w:sz w:val="32"/>
                  <w:szCs w:val="48"/>
                  <w:highlight w:val="none"/>
                </w:rPr>
              </m:ctrlPr>
            </m:sup>
            <m:e>
              <m:d>
                <m:dPr>
                  <m:ctrlPr>
                    <w:rPr>
                      <w:rFonts w:hint="eastAsia" w:ascii="Cambria Math" w:hAnsi="Cambria Math" w:eastAsia="仿宋_GB2312"/>
                      <w:color w:val="auto"/>
                      <w:sz w:val="32"/>
                      <w:szCs w:val="48"/>
                      <w:highlight w:val="none"/>
                    </w:rPr>
                  </m:ctrlPr>
                </m:dPr>
                <m:e>
                  <m:sSub>
                    <m:sSubPr>
                      <m:ctrlPr>
                        <w:rPr>
                          <w:rFonts w:ascii="Cambria Math" w:hAnsi="Cambria Math" w:cs="Times New Roman"/>
                          <w:i/>
                          <w:color w:val="auto"/>
                          <w:sz w:val="32"/>
                          <w:szCs w:val="32"/>
                          <w:highlight w:val="none"/>
                        </w:rPr>
                      </m:ctrlPr>
                    </m:sSubPr>
                    <m:e>
                      <m:r>
                        <m:rPr/>
                        <w:rPr>
                          <w:rFonts w:ascii="Cambria Math" w:hAnsi="Cambria Math" w:cs="Times New Roman"/>
                          <w:color w:val="auto"/>
                          <w:sz w:val="32"/>
                          <w:szCs w:val="32"/>
                          <w:highlight w:val="none"/>
                        </w:rPr>
                        <m:t>Q</m:t>
                      </m:r>
                      <m:ctrlPr>
                        <w:rPr>
                          <w:rFonts w:ascii="Cambria Math" w:hAnsi="Cambria Math" w:cs="Times New Roman"/>
                          <w:i/>
                          <w:color w:val="auto"/>
                          <w:sz w:val="32"/>
                          <w:szCs w:val="32"/>
                          <w:highlight w:val="none"/>
                        </w:rPr>
                      </m:ctrlPr>
                    </m:e>
                    <m:sub>
                      <m:r>
                        <m:rPr/>
                        <w:rPr>
                          <w:rFonts w:ascii="Cambria Math" w:hAnsi="Cambria Math" w:cs="Times New Roman"/>
                          <w:color w:val="auto"/>
                          <w:sz w:val="32"/>
                          <w:szCs w:val="32"/>
                          <w:highlight w:val="none"/>
                        </w:rPr>
                        <m:t>t</m:t>
                      </m:r>
                      <m:r>
                        <m:rPr>
                          <m:sty m:val="p"/>
                        </m:rPr>
                        <w:rPr>
                          <w:rFonts w:hint="eastAsia" w:ascii="Cambria Math" w:hAnsi="Cambria Math" w:eastAsia="方正仿宋_GB2312" w:cs="方正仿宋_GB2312"/>
                          <w:color w:val="auto"/>
                          <w:sz w:val="32"/>
                          <w:szCs w:val="32"/>
                          <w:highlight w:val="none"/>
                        </w:rPr>
                        <m:t>响应</m:t>
                      </m:r>
                      <m:r>
                        <m:rPr>
                          <m:sty m:val="p"/>
                        </m:rPr>
                        <w:rPr>
                          <w:rFonts w:hint="eastAsia" w:ascii="Cambria Math" w:hAnsi="Cambria Math" w:eastAsia="方正仿宋_GB2312" w:cs="方正仿宋_GB2312"/>
                          <w:color w:val="auto"/>
                          <w:sz w:val="32"/>
                          <w:szCs w:val="32"/>
                          <w:highlight w:val="none"/>
                          <w:lang w:val="en-US" w:eastAsia="zh-CN"/>
                        </w:rPr>
                        <m:t>功率</m:t>
                      </m:r>
                      <m:ctrlPr>
                        <w:rPr>
                          <w:rFonts w:ascii="Cambria Math" w:hAnsi="Cambria Math" w:cs="Times New Roman"/>
                          <w:i/>
                          <w:color w:val="auto"/>
                          <w:sz w:val="32"/>
                          <w:szCs w:val="32"/>
                          <w:highlight w:val="none"/>
                        </w:rPr>
                      </m:ctrlPr>
                    </m:sub>
                  </m:sSub>
                  <m:r>
                    <m:rPr/>
                    <w:rPr>
                      <w:rFonts w:ascii="Cambria Math" w:hAnsi="Cambria Math" w:cs="Cambria Math"/>
                      <w:color w:val="auto"/>
                      <w:sz w:val="32"/>
                      <w:szCs w:val="32"/>
                      <w:highlight w:val="none"/>
                    </w:rPr>
                    <m:t>×X</m:t>
                  </m:r>
                  <m:r>
                    <m:rPr>
                      <m:sty m:val="p"/>
                    </m:rPr>
                    <w:rPr>
                      <w:rFonts w:ascii="Cambria Math" w:hAnsi="Cambria Math" w:cs="Cambria Math"/>
                      <w:color w:val="auto"/>
                      <w:sz w:val="32"/>
                      <w:szCs w:val="32"/>
                      <w:highlight w:val="none"/>
                    </w:rPr>
                    <m:t>×</m:t>
                  </m:r>
                  <m:sSub>
                    <m:sSubPr>
                      <m:ctrlPr>
                        <w:rPr>
                          <w:rFonts w:ascii="Cambria Math" w:hAnsi="Cambria Math" w:cs="Cambria Math"/>
                          <w:i/>
                          <w:color w:val="auto"/>
                          <w:sz w:val="32"/>
                          <w:szCs w:val="32"/>
                          <w:highlight w:val="none"/>
                        </w:rPr>
                      </m:ctrlPr>
                    </m:sSubPr>
                    <m:e>
                      <m:r>
                        <m:rPr/>
                        <w:rPr>
                          <w:rFonts w:ascii="Cambria Math" w:hAnsi="Cambria Math" w:cs="Cambria Math"/>
                          <w:color w:val="auto"/>
                          <w:sz w:val="32"/>
                          <w:szCs w:val="32"/>
                          <w:highlight w:val="none"/>
                        </w:rPr>
                        <m:t>P</m:t>
                      </m:r>
                      <m:ctrlPr>
                        <w:rPr>
                          <w:rFonts w:ascii="Cambria Math" w:hAnsi="Cambria Math" w:cs="Cambria Math"/>
                          <w:i/>
                          <w:color w:val="auto"/>
                          <w:sz w:val="32"/>
                          <w:szCs w:val="32"/>
                          <w:highlight w:val="none"/>
                        </w:rPr>
                      </m:ctrlPr>
                    </m:e>
                    <m:sub>
                      <m:r>
                        <m:rPr>
                          <m:sty m:val="p"/>
                        </m:rPr>
                        <w:rPr>
                          <w:rFonts w:hint="eastAsia" w:ascii="Cambria Math" w:hAnsi="Cambria Math" w:eastAsia="方正仿宋_GB2312" w:cs="方正仿宋_GB2312"/>
                          <w:color w:val="auto"/>
                          <w:sz w:val="32"/>
                          <w:szCs w:val="32"/>
                          <w:highlight w:val="none"/>
                          <w:lang w:val="en-US" w:eastAsia="zh-CN"/>
                        </w:rPr>
                        <m:t>响应</m:t>
                      </m:r>
                      <m:r>
                        <m:rPr>
                          <m:sty m:val="p"/>
                        </m:rPr>
                        <w:rPr>
                          <w:rFonts w:hint="eastAsia" w:ascii="Cambria Math" w:hAnsi="Cambria Math" w:eastAsia="方正仿宋_GB2312" w:cs="方正仿宋_GB2312"/>
                          <w:color w:val="auto"/>
                          <w:sz w:val="32"/>
                          <w:szCs w:val="32"/>
                          <w:highlight w:val="none"/>
                        </w:rPr>
                        <m:t>补贴价格</m:t>
                      </m:r>
                      <m:ctrlPr>
                        <w:rPr>
                          <w:rFonts w:ascii="Cambria Math" w:hAnsi="Cambria Math" w:cs="Cambria Math"/>
                          <w:i/>
                          <w:color w:val="auto"/>
                          <w:sz w:val="32"/>
                          <w:szCs w:val="32"/>
                          <w:highlight w:val="none"/>
                        </w:rPr>
                      </m:ctrlPr>
                    </m:sub>
                  </m:sSub>
                  <m:r>
                    <m:rPr/>
                    <w:rPr>
                      <w:rFonts w:ascii="Cambria Math" w:hAnsi="Cambria Math" w:cs="Cambria Math"/>
                      <w:color w:val="auto"/>
                      <w:sz w:val="32"/>
                      <w:szCs w:val="32"/>
                      <w:highlight w:val="none"/>
                    </w:rPr>
                    <m:t>×</m:t>
                  </m:r>
                  <m:sSub>
                    <m:sSubPr>
                      <m:ctrlPr>
                        <w:rPr>
                          <w:rFonts w:ascii="Cambria Math" w:hAnsi="Cambria Math" w:cs="Cambria Math"/>
                          <w:i w:val="0"/>
                          <w:iCs/>
                          <w:color w:val="auto"/>
                          <w:sz w:val="32"/>
                          <w:szCs w:val="32"/>
                          <w:highlight w:val="none"/>
                        </w:rPr>
                      </m:ctrlPr>
                    </m:sSubPr>
                    <m:e>
                      <m:r>
                        <m:rPr>
                          <m:sty m:val="p"/>
                        </m:rPr>
                        <w:rPr>
                          <w:rFonts w:hint="default" w:ascii="Cambria Math" w:hAnsi="Cambria Math" w:cs="Cambria Math"/>
                          <w:color w:val="auto"/>
                          <w:sz w:val="32"/>
                          <w:szCs w:val="32"/>
                          <w:highlight w:val="none"/>
                          <w:lang w:val="en-US" w:eastAsia="zh-CN"/>
                        </w:rPr>
                        <m:t>T</m:t>
                      </m:r>
                      <m:ctrlPr>
                        <w:rPr>
                          <w:rFonts w:ascii="Cambria Math" w:hAnsi="Cambria Math" w:cs="Cambria Math"/>
                          <w:i w:val="0"/>
                          <w:iCs/>
                          <w:color w:val="auto"/>
                          <w:sz w:val="32"/>
                          <w:szCs w:val="32"/>
                          <w:highlight w:val="none"/>
                        </w:rPr>
                      </m:ctrlPr>
                    </m:e>
                    <m:sub>
                      <m:r>
                        <m:rPr>
                          <m:sty m:val="p"/>
                        </m:rPr>
                        <w:rPr>
                          <w:rFonts w:hint="eastAsia" w:ascii="Cambria Math" w:hAnsi="Cambria Math" w:eastAsia="方正仿宋_GB2312" w:cs="方正仿宋_GB2312"/>
                          <w:color w:val="auto"/>
                          <w:sz w:val="32"/>
                          <w:szCs w:val="32"/>
                          <w:highlight w:val="none"/>
                          <w:lang w:val="en-US" w:eastAsia="zh-CN"/>
                        </w:rPr>
                        <m:t>调用时长</m:t>
                      </m:r>
                      <m:ctrlPr>
                        <w:rPr>
                          <w:rFonts w:ascii="Cambria Math" w:hAnsi="Cambria Math" w:cs="Cambria Math"/>
                          <w:i w:val="0"/>
                          <w:iCs/>
                          <w:color w:val="auto"/>
                          <w:sz w:val="32"/>
                          <w:szCs w:val="32"/>
                          <w:highlight w:val="none"/>
                        </w:rPr>
                      </m:ctrlPr>
                    </m:sub>
                  </m:sSub>
                  <m:ctrlPr>
                    <w:rPr>
                      <w:rFonts w:hint="eastAsia" w:ascii="Cambria Math" w:hAnsi="Cambria Math" w:eastAsia="仿宋_GB2312"/>
                      <w:color w:val="auto"/>
                      <w:sz w:val="32"/>
                      <w:szCs w:val="48"/>
                      <w:highlight w:val="none"/>
                    </w:rPr>
                  </m:ctrlPr>
                </m:e>
              </m:d>
              <m:ctrlPr>
                <w:rPr>
                  <w:rFonts w:hint="eastAsia" w:ascii="Cambria Math" w:hAnsi="Cambria Math" w:eastAsia="仿宋_GB2312"/>
                  <w:color w:val="auto"/>
                  <w:sz w:val="32"/>
                  <w:szCs w:val="48"/>
                  <w:highlight w:val="none"/>
                </w:rPr>
              </m:ctrlPr>
            </m:e>
          </m:nary>
          <m:r>
            <m:rPr>
              <m:sty m:val="p"/>
            </m:rPr>
            <w:rPr>
              <w:rFonts w:hint="eastAsia" w:hAnsi="Cambria Math" w:eastAsia="仿宋_GB2312"/>
              <w:color w:val="auto"/>
              <w:sz w:val="32"/>
              <w:szCs w:val="48"/>
              <w:highlight w:val="none"/>
            </w:rPr>
            <m:t xml:space="preserve"> </m:t>
          </m:r>
        </m:oMath>
      </m:oMathPara>
    </w:p>
    <w:p w14:paraId="500A0564">
      <w:pPr>
        <w:pStyle w:val="10"/>
        <w:jc w:val="center"/>
        <w:outlineLvl w:val="9"/>
        <w:rPr>
          <w:rFonts w:hAnsi="Cambria Math" w:cs="Cambria Math"/>
          <w:b w:val="0"/>
          <w:bCs w:val="0"/>
          <w:i w:val="0"/>
          <w:color w:val="auto"/>
          <w:sz w:val="32"/>
          <w:szCs w:val="32"/>
          <w:highlight w:val="none"/>
        </w:rPr>
      </w:pPr>
      <m:oMathPara>
        <m:oMath>
          <m:sSub>
            <m:sSubPr>
              <m:ctrlPr>
                <w:rPr>
                  <w:rFonts w:hint="eastAsia" w:ascii="Cambria Math" w:hAnsi="Cambria Math" w:eastAsia="仿宋_GB2312"/>
                  <w:b w:val="0"/>
                  <w:bCs w:val="0"/>
                  <w:color w:val="auto"/>
                  <w:szCs w:val="48"/>
                  <w:highlight w:val="none"/>
                </w:rPr>
              </m:ctrlPr>
            </m:sSubPr>
            <m:e>
              <m:r>
                <m:rPr>
                  <m:sty m:val="p"/>
                </m:rPr>
                <w:rPr>
                  <w:rFonts w:hint="default" w:ascii="Cambria Math" w:hAnsi="Cambria Math" w:eastAsia="仿宋_GB2312"/>
                  <w:color w:val="auto"/>
                  <w:szCs w:val="48"/>
                  <w:highlight w:val="none"/>
                  <w:lang w:val="en-US" w:eastAsia="zh-CN"/>
                </w:rPr>
                <m:t>Q</m:t>
              </m:r>
              <m:ctrlPr>
                <w:rPr>
                  <w:rFonts w:hint="eastAsia" w:ascii="Cambria Math" w:hAnsi="Cambria Math" w:eastAsia="仿宋_GB2312"/>
                  <w:b w:val="0"/>
                  <w:bCs w:val="0"/>
                  <w:color w:val="auto"/>
                  <w:szCs w:val="48"/>
                  <w:highlight w:val="none"/>
                </w:rPr>
              </m:ctrlPr>
            </m:e>
            <m:sub>
              <m:r>
                <m:rPr>
                  <m:sty m:val="p"/>
                </m:rPr>
                <w:rPr>
                  <w:rFonts w:hint="default" w:ascii="Cambria Math" w:hAnsi="Cambria Math" w:eastAsia="仿宋_GB2312"/>
                  <w:color w:val="auto"/>
                  <w:szCs w:val="48"/>
                  <w:highlight w:val="none"/>
                  <w:lang w:val="en-US" w:eastAsia="zh-CN"/>
                </w:rPr>
                <m:t>t</m:t>
              </m:r>
              <m:r>
                <m:rPr>
                  <m:sty m:val="p"/>
                </m:rPr>
                <w:rPr>
                  <w:rFonts w:hint="eastAsia" w:ascii="Cambria Math" w:hAnsi="Cambria Math" w:eastAsia="方正仿宋_GB2312" w:cs="方正仿宋_GB2312"/>
                  <w:color w:val="auto"/>
                  <w:sz w:val="32"/>
                  <w:szCs w:val="32"/>
                  <w:highlight w:val="none"/>
                </w:rPr>
                <m:t>响应</m:t>
              </m:r>
              <m:r>
                <m:rPr>
                  <m:sty m:val="p"/>
                </m:rPr>
                <w:rPr>
                  <w:rFonts w:hint="eastAsia" w:ascii="Cambria Math" w:hAnsi="Cambria Math" w:eastAsia="方正仿宋_GB2312" w:cs="方正仿宋_GB2312"/>
                  <w:color w:val="auto"/>
                  <w:sz w:val="32"/>
                  <w:szCs w:val="32"/>
                  <w:highlight w:val="none"/>
                  <w:lang w:val="en-US" w:eastAsia="zh-CN"/>
                </w:rPr>
                <m:t>功率</m:t>
              </m:r>
              <m:ctrlPr>
                <w:rPr>
                  <w:rFonts w:hint="eastAsia" w:ascii="Cambria Math" w:hAnsi="Cambria Math" w:eastAsia="仿宋_GB2312"/>
                  <w:b w:val="0"/>
                  <w:bCs w:val="0"/>
                  <w:color w:val="auto"/>
                  <w:szCs w:val="48"/>
                  <w:highlight w:val="none"/>
                </w:rPr>
              </m:ctrlPr>
            </m:sub>
          </m:sSub>
          <m:r>
            <m:rPr>
              <m:sty m:val="p"/>
            </m:rPr>
            <w:rPr>
              <w:rFonts w:hint="eastAsia" w:ascii="Cambria Math" w:hAnsi="Cambria Math" w:eastAsia="仿宋_GB2312"/>
              <w:color w:val="auto"/>
              <w:szCs w:val="48"/>
              <w:highlight w:val="none"/>
            </w:rPr>
            <m:t>=</m:t>
          </m:r>
          <m:sSub>
            <m:sSubPr>
              <m:ctrlPr>
                <w:rPr>
                  <w:rFonts w:hint="eastAsia" w:ascii="Cambria Math" w:hAnsi="Cambria Math" w:eastAsia="仿宋_GB2312"/>
                  <w:b w:val="0"/>
                  <w:bCs w:val="0"/>
                  <w:color w:val="auto"/>
                  <w:szCs w:val="48"/>
                  <w:highlight w:val="none"/>
                </w:rPr>
              </m:ctrlPr>
            </m:sSubPr>
            <m:e>
              <m:r>
                <m:rPr>
                  <m:sty m:val="p"/>
                </m:rPr>
                <w:rPr>
                  <w:rFonts w:hint="eastAsia" w:ascii="Cambria Math" w:hAnsi="Cambria Math" w:eastAsia="仿宋_GB2312"/>
                  <w:color w:val="auto"/>
                  <w:szCs w:val="48"/>
                  <w:highlight w:val="none"/>
                  <w:lang w:val="en-US" w:eastAsia="zh-CN"/>
                </w:rPr>
                <m:t>L</m:t>
              </m:r>
              <m:ctrlPr>
                <w:rPr>
                  <w:rFonts w:hint="eastAsia" w:ascii="Cambria Math" w:hAnsi="Cambria Math" w:eastAsia="仿宋_GB2312"/>
                  <w:b w:val="0"/>
                  <w:bCs w:val="0"/>
                  <w:color w:val="auto"/>
                  <w:szCs w:val="48"/>
                  <w:highlight w:val="none"/>
                </w:rPr>
              </m:ctrlPr>
            </m:e>
            <m:sub>
              <m:r>
                <m:rPr>
                  <m:sty m:val="p"/>
                </m:rPr>
                <w:rPr>
                  <w:rFonts w:hint="eastAsia" w:ascii="Cambria Math" w:hAnsi="Cambria Math" w:eastAsia="仿宋_GB2312"/>
                  <w:color w:val="auto"/>
                  <w:szCs w:val="48"/>
                  <w:highlight w:val="none"/>
                  <w:lang w:val="en-US" w:eastAsia="zh-CN"/>
                </w:rPr>
                <m:t>t基线负荷</m:t>
              </m:r>
              <m:ctrlPr>
                <w:rPr>
                  <w:rFonts w:hint="eastAsia" w:ascii="Cambria Math" w:hAnsi="Cambria Math" w:eastAsia="仿宋_GB2312"/>
                  <w:b w:val="0"/>
                  <w:bCs w:val="0"/>
                  <w:color w:val="auto"/>
                  <w:szCs w:val="48"/>
                  <w:highlight w:val="none"/>
                </w:rPr>
              </m:ctrlPr>
            </m:sub>
          </m:sSub>
          <m:r>
            <m:rPr>
              <m:sty m:val="p"/>
            </m:rPr>
            <w:rPr>
              <w:rFonts w:ascii="Cambria Math" w:hAnsi="Cambria Math" w:eastAsia="仿宋_GB2312"/>
              <w:color w:val="auto"/>
              <w:szCs w:val="48"/>
              <w:highlight w:val="none"/>
            </w:rPr>
            <m:t>−</m:t>
          </m:r>
          <m:sSub>
            <m:sSubPr>
              <m:ctrlPr>
                <w:rPr>
                  <w:rFonts w:hint="eastAsia" w:ascii="Cambria Math" w:hAnsi="Cambria Math" w:eastAsia="仿宋_GB2312"/>
                  <w:b w:val="0"/>
                  <w:bCs w:val="0"/>
                  <w:color w:val="auto"/>
                  <w:szCs w:val="48"/>
                  <w:highlight w:val="none"/>
                </w:rPr>
              </m:ctrlPr>
            </m:sSubPr>
            <m:e>
              <m:r>
                <m:rPr>
                  <m:sty m:val="p"/>
                </m:rPr>
                <w:rPr>
                  <w:rFonts w:hint="eastAsia" w:ascii="Cambria Math" w:hAnsi="Cambria Math" w:eastAsia="仿宋_GB2312"/>
                  <w:color w:val="auto"/>
                  <w:szCs w:val="48"/>
                  <w:highlight w:val="none"/>
                  <w:lang w:val="en-US" w:eastAsia="zh-CN"/>
                </w:rPr>
                <m:t>L</m:t>
              </m:r>
              <m:ctrlPr>
                <w:rPr>
                  <w:rFonts w:hint="eastAsia" w:ascii="Cambria Math" w:hAnsi="Cambria Math" w:eastAsia="仿宋_GB2312"/>
                  <w:b w:val="0"/>
                  <w:bCs w:val="0"/>
                  <w:color w:val="auto"/>
                  <w:szCs w:val="48"/>
                  <w:highlight w:val="none"/>
                </w:rPr>
              </m:ctrlPr>
            </m:e>
            <m:sub>
              <m:r>
                <m:rPr>
                  <m:sty m:val="p"/>
                </m:rPr>
                <w:rPr>
                  <w:rFonts w:hint="default" w:ascii="Cambria Math" w:hAnsi="Cambria Math" w:eastAsia="仿宋_GB2312"/>
                  <w:color w:val="auto"/>
                  <w:szCs w:val="48"/>
                  <w:highlight w:val="none"/>
                  <w:lang w:val="en-US" w:eastAsia="zh-CN"/>
                </w:rPr>
                <m:t>t</m:t>
              </m:r>
              <m:r>
                <m:rPr>
                  <m:sty m:val="p"/>
                </m:rPr>
                <w:rPr>
                  <w:rFonts w:hint="eastAsia" w:ascii="Cambria Math" w:hAnsi="Cambria Math" w:eastAsia="仿宋_GB2312"/>
                  <w:color w:val="auto"/>
                  <w:szCs w:val="48"/>
                  <w:highlight w:val="none"/>
                </w:rPr>
                <m:t>实际负荷</m:t>
              </m:r>
              <m:ctrlPr>
                <w:rPr>
                  <w:rFonts w:hint="eastAsia" w:ascii="Cambria Math" w:hAnsi="Cambria Math" w:eastAsia="仿宋_GB2312"/>
                  <w:b w:val="0"/>
                  <w:bCs w:val="0"/>
                  <w:color w:val="auto"/>
                  <w:szCs w:val="48"/>
                  <w:highlight w:val="none"/>
                </w:rPr>
              </m:ctrlPr>
            </m:sub>
          </m:sSub>
        </m:oMath>
      </m:oMathPara>
    </w:p>
    <w:p w14:paraId="728BBEDB">
      <w:pPr>
        <w:pStyle w:val="10"/>
        <w:jc w:val="center"/>
        <w:outlineLvl w:val="9"/>
        <w:rPr>
          <w:rFonts w:hint="eastAsia" w:eastAsia="黑体"/>
          <w:color w:val="auto"/>
          <w:highlight w:val="none"/>
          <w:lang w:val="en-US" w:eastAsia="zh-CN"/>
        </w:rPr>
      </w:pPr>
      <m:oMath>
        <m:sSub>
          <m:sSubPr>
            <m:ctrlPr>
              <w:rPr>
                <w:rFonts w:ascii="Cambria Math" w:hAnsi="Cambria Math" w:cs="Cambria Math"/>
                <w:b w:val="0"/>
                <w:bCs w:val="0"/>
                <w:i/>
                <w:color w:val="auto"/>
                <w:sz w:val="32"/>
                <w:szCs w:val="32"/>
                <w:highlight w:val="none"/>
              </w:rPr>
            </m:ctrlPr>
          </m:sSubPr>
          <m:e>
            <m:r>
              <m:rPr/>
              <w:rPr>
                <w:rFonts w:hint="default" w:ascii="Cambria Math" w:hAnsi="Cambria Math" w:cs="Cambria Math"/>
                <w:color w:val="auto"/>
                <w:sz w:val="32"/>
                <w:szCs w:val="32"/>
                <w:highlight w:val="none"/>
              </w:rPr>
              <m:t>P</m:t>
            </m:r>
            <m:ctrlPr>
              <w:rPr>
                <w:rFonts w:ascii="Cambria Math" w:hAnsi="Cambria Math" w:cs="Cambria Math"/>
                <w:b w:val="0"/>
                <w:bCs w:val="0"/>
                <w:i/>
                <w:color w:val="auto"/>
                <w:sz w:val="32"/>
                <w:szCs w:val="32"/>
                <w:highlight w:val="none"/>
              </w:rPr>
            </m:ctrlPr>
          </m:e>
          <m:sub>
            <m:r>
              <m:rPr>
                <m:sty m:val="p"/>
              </m:rPr>
              <w:rPr>
                <w:rFonts w:hint="eastAsia" w:ascii="Cambria Math" w:hAnsi="Cambria Math" w:eastAsia="方正仿宋_GB2312" w:cs="方正仿宋_GB2312"/>
                <w:color w:val="auto"/>
                <w:sz w:val="32"/>
                <w:szCs w:val="32"/>
                <w:highlight w:val="none"/>
                <w:lang w:val="en-US" w:eastAsia="zh-CN"/>
              </w:rPr>
              <m:t>响应</m:t>
            </m:r>
            <m:r>
              <m:rPr>
                <m:sty m:val="p"/>
              </m:rPr>
              <w:rPr>
                <w:rFonts w:hint="eastAsia" w:ascii="Cambria Math" w:hAnsi="Cambria Math" w:eastAsia="方正仿宋_GB2312" w:cs="方正仿宋_GB2312"/>
                <w:color w:val="auto"/>
                <w:sz w:val="32"/>
                <w:szCs w:val="32"/>
                <w:highlight w:val="none"/>
              </w:rPr>
              <m:t>补贴价格</m:t>
            </m:r>
            <m:ctrlPr>
              <w:rPr>
                <w:rFonts w:ascii="Cambria Math" w:hAnsi="Cambria Math" w:cs="Cambria Math"/>
                <w:b w:val="0"/>
                <w:bCs w:val="0"/>
                <w:i/>
                <w:color w:val="auto"/>
                <w:sz w:val="32"/>
                <w:szCs w:val="32"/>
                <w:highlight w:val="none"/>
              </w:rPr>
            </m:ctrlPr>
          </m:sub>
        </m:sSub>
      </m:oMath>
      <w:r>
        <w:rPr>
          <w:rFonts w:hint="eastAsia" w:hAnsi="Cambria Math" w:cs="Cambria Math"/>
          <w:b w:val="0"/>
          <w:bCs w:val="0"/>
          <w:i w:val="0"/>
          <w:color w:val="auto"/>
          <w:sz w:val="32"/>
          <w:szCs w:val="32"/>
          <w:highlight w:val="none"/>
          <w:lang w:val="en-US" w:eastAsia="zh-CN"/>
        </w:rPr>
        <w:t>=R</w:t>
      </w:r>
      <w:r>
        <w:rPr>
          <w:rFonts w:hint="eastAsia" w:hAnsi="Cambria Math" w:cs="Cambria Math"/>
          <w:b w:val="0"/>
          <w:bCs w:val="0"/>
          <w:i w:val="0"/>
          <w:color w:val="auto"/>
          <w:sz w:val="32"/>
          <w:szCs w:val="32"/>
          <w:highlight w:val="none"/>
          <w:vertAlign w:val="subscript"/>
          <w:lang w:val="en-US" w:eastAsia="zh-CN"/>
        </w:rPr>
        <w:t>1</w:t>
      </w:r>
      <m:oMath>
        <m:r>
          <m:rPr/>
          <w:rPr>
            <w:rFonts w:ascii="Cambria Math" w:hAnsi="Cambria Math" w:cs="Cambria Math"/>
            <w:color w:val="auto"/>
            <w:sz w:val="32"/>
            <w:szCs w:val="32"/>
            <w:highlight w:val="none"/>
          </w:rPr>
          <m:t>×</m:t>
        </m:r>
      </m:oMath>
      <w:r>
        <w:rPr>
          <w:rFonts w:hint="eastAsia" w:hAnsi="Cambria Math" w:cs="Cambria Math"/>
          <w:b w:val="0"/>
          <w:bCs w:val="0"/>
          <w:i w:val="0"/>
          <w:color w:val="auto"/>
          <w:sz w:val="32"/>
          <w:szCs w:val="32"/>
          <w:highlight w:val="none"/>
          <w:lang w:val="en-US" w:eastAsia="zh-CN"/>
        </w:rPr>
        <w:t>f</w:t>
      </w:r>
    </w:p>
    <w:p w14:paraId="30182943">
      <w:pPr>
        <w:pStyle w:val="31"/>
        <w:ind w:firstLine="640"/>
        <w:rPr>
          <w:rFonts w:hint="eastAsia" w:eastAsia="仿宋_GB2312" w:cs="仿宋_GB2312"/>
          <w:color w:val="auto"/>
          <w:sz w:val="32"/>
          <w:szCs w:val="32"/>
          <w:highlight w:val="none"/>
        </w:rPr>
      </w:pPr>
      <w:r>
        <w:rPr>
          <w:rFonts w:hint="eastAsia" w:eastAsia="仿宋_GB2312" w:cs="仿宋_GB2312"/>
          <w:color w:val="auto"/>
          <w:sz w:val="32"/>
          <w:szCs w:val="32"/>
          <w:highlight w:val="none"/>
        </w:rPr>
        <w:t>其中：</w:t>
      </w:r>
    </w:p>
    <w:p w14:paraId="767104D4">
      <w:pPr>
        <w:pStyle w:val="31"/>
        <w:ind w:firstLine="640"/>
        <w:rPr>
          <w:rFonts w:hint="eastAsia" w:eastAsia="仿宋_GB2312" w:cs="仿宋_GB2312"/>
          <w:color w:val="auto"/>
          <w:sz w:val="32"/>
          <w:szCs w:val="32"/>
          <w:highlight w:val="none"/>
        </w:rPr>
      </w:pPr>
      <w:r>
        <w:rPr>
          <w:rFonts w:hint="eastAsia" w:eastAsia="仿宋_GB2312" w:cs="仿宋_GB2312"/>
          <w:color w:val="auto"/>
          <w:sz w:val="32"/>
          <w:szCs w:val="32"/>
          <w:highlight w:val="none"/>
        </w:rPr>
        <w:t>R</w:t>
      </w:r>
      <w:r>
        <w:rPr>
          <w:rFonts w:hint="eastAsia" w:eastAsia="仿宋_GB2312" w:cs="仿宋_GB2312"/>
          <w:color w:val="auto"/>
          <w:sz w:val="32"/>
          <w:szCs w:val="32"/>
          <w:highlight w:val="none"/>
          <w:vertAlign w:val="subscript"/>
        </w:rPr>
        <w:t>响应补贴</w:t>
      </w:r>
      <w:r>
        <w:rPr>
          <w:rFonts w:hint="eastAsia" w:eastAsia="仿宋_GB2312" w:cs="仿宋_GB2312"/>
          <w:color w:val="auto"/>
          <w:sz w:val="32"/>
          <w:szCs w:val="32"/>
          <w:highlight w:val="none"/>
        </w:rPr>
        <w:t>为参与</w:t>
      </w:r>
      <w:r>
        <w:rPr>
          <w:rFonts w:hint="eastAsia" w:eastAsia="仿宋_GB2312" w:cs="仿宋_GB2312"/>
          <w:color w:val="auto"/>
          <w:sz w:val="32"/>
          <w:szCs w:val="32"/>
          <w:highlight w:val="none"/>
          <w:lang w:eastAsia="zh-CN"/>
        </w:rPr>
        <w:t>有功响应</w:t>
      </w:r>
      <w:r>
        <w:rPr>
          <w:rFonts w:hint="eastAsia" w:eastAsia="仿宋_GB2312" w:cs="仿宋_GB2312"/>
          <w:color w:val="auto"/>
          <w:sz w:val="32"/>
          <w:szCs w:val="32"/>
          <w:highlight w:val="none"/>
        </w:rPr>
        <w:t>补贴费用；</w:t>
      </w:r>
    </w:p>
    <w:p w14:paraId="781E8A42">
      <w:pPr>
        <w:pStyle w:val="31"/>
        <w:ind w:firstLine="640"/>
        <w:rPr>
          <w:rFonts w:hint="eastAsia" w:eastAsia="仿宋_GB2312" w:cs="仿宋_GB2312"/>
          <w:color w:val="auto"/>
          <w:sz w:val="32"/>
          <w:szCs w:val="32"/>
          <w:highlight w:val="none"/>
        </w:rPr>
      </w:pPr>
      <w:r>
        <w:rPr>
          <w:rFonts w:hint="eastAsia" w:eastAsia="仿宋_GB2312" w:cs="仿宋_GB2312"/>
          <w:color w:val="auto"/>
          <w:sz w:val="32"/>
          <w:szCs w:val="32"/>
          <w:highlight w:val="none"/>
        </w:rPr>
        <w:t>Q</w:t>
      </w:r>
      <w:r>
        <w:rPr>
          <w:rFonts w:hint="eastAsia" w:eastAsia="仿宋_GB2312" w:cs="仿宋_GB2312"/>
          <w:color w:val="auto"/>
          <w:sz w:val="32"/>
          <w:szCs w:val="32"/>
          <w:highlight w:val="none"/>
          <w:vertAlign w:val="subscript"/>
        </w:rPr>
        <w:t>t响应</w:t>
      </w:r>
      <w:r>
        <w:rPr>
          <w:rFonts w:hint="eastAsia" w:eastAsia="仿宋_GB2312" w:cs="仿宋_GB2312"/>
          <w:color w:val="auto"/>
          <w:sz w:val="32"/>
          <w:szCs w:val="32"/>
          <w:highlight w:val="none"/>
          <w:vertAlign w:val="subscript"/>
          <w:lang w:val="en-US" w:eastAsia="zh-CN"/>
        </w:rPr>
        <w:t>功率</w:t>
      </w:r>
      <w:r>
        <w:rPr>
          <w:rFonts w:hint="eastAsia" w:eastAsia="仿宋_GB2312" w:cs="仿宋_GB2312"/>
          <w:color w:val="auto"/>
          <w:sz w:val="32"/>
          <w:szCs w:val="32"/>
          <w:highlight w:val="none"/>
        </w:rPr>
        <w:t>为参与</w:t>
      </w:r>
      <w:r>
        <w:rPr>
          <w:rFonts w:hint="eastAsia" w:eastAsia="仿宋_GB2312" w:cs="仿宋_GB2312"/>
          <w:color w:val="auto"/>
          <w:sz w:val="32"/>
          <w:szCs w:val="32"/>
          <w:highlight w:val="none"/>
          <w:lang w:eastAsia="zh-CN"/>
        </w:rPr>
        <w:t>有功响应</w:t>
      </w:r>
      <w:r>
        <w:rPr>
          <w:rFonts w:hint="eastAsia" w:eastAsia="仿宋_GB2312" w:cs="仿宋_GB2312"/>
          <w:color w:val="auto"/>
          <w:sz w:val="32"/>
          <w:szCs w:val="32"/>
          <w:highlight w:val="none"/>
        </w:rPr>
        <w:object>
          <v:shape id="_x0000_i1025" o:spt="75" type="#_x0000_t75" style="height:10.2pt;width:4.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eastAsia="仿宋_GB2312" w:cs="仿宋_GB2312"/>
          <w:color w:val="auto"/>
          <w:sz w:val="32"/>
          <w:szCs w:val="32"/>
          <w:highlight w:val="none"/>
        </w:rPr>
        <w:t>时段有效调节量；</w:t>
      </w:r>
    </w:p>
    <w:p w14:paraId="71581E9C">
      <w:pPr>
        <w:pStyle w:val="31"/>
        <w:widowControl/>
        <w:ind w:firstLine="640"/>
        <w:rPr>
          <w:rFonts w:hint="eastAsia" w:ascii="Times New Roman" w:hAnsi="Times New Roman" w:eastAsia="仿宋_GB2312" w:cs="Times New Roman"/>
          <w:bCs/>
          <w:color w:val="auto"/>
          <w:sz w:val="32"/>
          <w:szCs w:val="32"/>
          <w:highlight w:val="none"/>
          <w:lang w:val="en-US" w:eastAsia="zh-CN"/>
        </w:rPr>
      </w:pPr>
      <w:r>
        <w:rPr>
          <w:rFonts w:hint="eastAsia" w:eastAsia="仿宋_GB2312" w:cs="仿宋_GB2312"/>
          <w:color w:val="auto"/>
          <w:sz w:val="32"/>
          <w:szCs w:val="32"/>
          <w:highlight w:val="none"/>
        </w:rPr>
        <w:t>P</w:t>
      </w:r>
      <w:r>
        <w:rPr>
          <w:rFonts w:hint="eastAsia" w:eastAsia="仿宋_GB2312" w:cs="仿宋_GB2312"/>
          <w:color w:val="auto"/>
          <w:sz w:val="32"/>
          <w:szCs w:val="32"/>
          <w:highlight w:val="none"/>
          <w:vertAlign w:val="subscript"/>
          <w:lang w:val="en-US" w:eastAsia="zh-CN"/>
        </w:rPr>
        <w:t>响应</w:t>
      </w:r>
      <w:r>
        <w:rPr>
          <w:rFonts w:hint="eastAsia" w:eastAsia="仿宋_GB2312" w:cs="仿宋_GB2312"/>
          <w:color w:val="auto"/>
          <w:sz w:val="32"/>
          <w:szCs w:val="32"/>
          <w:highlight w:val="none"/>
          <w:vertAlign w:val="subscript"/>
        </w:rPr>
        <w:t>补贴价格</w:t>
      </w:r>
      <w:r>
        <w:rPr>
          <w:rFonts w:hint="eastAsia" w:eastAsia="仿宋_GB2312" w:cs="仿宋_GB2312"/>
          <w:color w:val="auto"/>
          <w:sz w:val="32"/>
          <w:szCs w:val="32"/>
          <w:highlight w:val="none"/>
        </w:rPr>
        <w:t>为</w:t>
      </w:r>
      <w:r>
        <w:rPr>
          <w:rFonts w:hint="eastAsia" w:eastAsia="仿宋_GB2312" w:cs="仿宋_GB2312"/>
          <w:color w:val="auto"/>
          <w:sz w:val="32"/>
          <w:szCs w:val="32"/>
          <w:highlight w:val="none"/>
          <w:lang w:eastAsia="zh-CN"/>
        </w:rPr>
        <w:t>有功响应</w:t>
      </w:r>
      <w:r>
        <w:rPr>
          <w:rFonts w:hint="eastAsia" w:eastAsia="仿宋_GB2312" w:cs="仿宋_GB2312"/>
          <w:color w:val="auto"/>
          <w:sz w:val="32"/>
          <w:szCs w:val="32"/>
          <w:highlight w:val="none"/>
        </w:rPr>
        <w:t>补贴价格</w:t>
      </w:r>
      <w:r>
        <w:rPr>
          <w:rFonts w:hint="eastAsia" w:eastAsia="仿宋_GB2312" w:cs="仿宋_GB2312"/>
          <w:color w:val="auto"/>
          <w:sz w:val="32"/>
          <w:szCs w:val="32"/>
          <w:highlight w:val="none"/>
          <w:lang w:val="en-US" w:eastAsia="zh-CN"/>
        </w:rPr>
        <w:t>,依据响应类型设置补贴价格阶梯</w:t>
      </w:r>
      <w:r>
        <w:rPr>
          <w:rFonts w:hint="eastAsia" w:ascii="Times New Roman" w:hAnsi="Times New Roman" w:eastAsia="仿宋_GB2312" w:cs="Times New Roman"/>
          <w:bCs/>
          <w:color w:val="auto"/>
          <w:sz w:val="32"/>
          <w:szCs w:val="32"/>
          <w:highlight w:val="none"/>
          <w:lang w:val="en-US" w:eastAsia="zh-CN"/>
        </w:rPr>
        <w:t>；</w:t>
      </w:r>
    </w:p>
    <w:p w14:paraId="549448EF">
      <w:pPr>
        <w:spacing w:line="560" w:lineRule="exact"/>
        <w:ind w:firstLine="640" w:firstLineChars="200"/>
        <w:rPr>
          <w:rFonts w:hint="eastAsia" w:ascii="Times New Roman" w:hAnsi="Times New Roman" w:eastAsia="仿宋_GB2312" w:cs="Times New Roman"/>
          <w:bCs/>
          <w:color w:val="auto"/>
          <w:sz w:val="32"/>
          <w:szCs w:val="32"/>
          <w:highlight w:val="none"/>
          <w:lang w:val="en-US" w:eastAsia="zh-CN"/>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T</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调用时长</m:t>
            </m:r>
            <m:ctrlPr>
              <w:rPr>
                <w:rFonts w:hint="eastAsia" w:ascii="Cambria Math" w:hAnsi="Cambria Math" w:eastAsia="仿宋_GB2312"/>
                <w:bCs/>
                <w:color w:val="auto"/>
                <w:sz w:val="32"/>
                <w:szCs w:val="48"/>
                <w:highlight w:val="none"/>
              </w:rPr>
            </m:ctrlPr>
          </m:sub>
        </m:sSub>
      </m:oMath>
      <w:r>
        <w:rPr>
          <w:rFonts w:hint="eastAsia" w:hAnsi="Cambria Math" w:eastAsia="仿宋_GB2312"/>
          <w:bCs/>
          <w:color w:val="auto"/>
          <w:sz w:val="32"/>
          <w:szCs w:val="48"/>
          <w:highlight w:val="none"/>
        </w:rPr>
        <w:t>为被调用的时长</w:t>
      </w:r>
      <w:r>
        <w:rPr>
          <w:rFonts w:hint="eastAsia" w:hAnsi="Cambria Math" w:eastAsia="仿宋_GB2312"/>
          <w:bCs/>
          <w:color w:val="auto"/>
          <w:sz w:val="32"/>
          <w:szCs w:val="48"/>
          <w:highlight w:val="none"/>
          <w:lang w:eastAsia="zh-CN"/>
        </w:rPr>
        <w:t>；</w:t>
      </w:r>
    </w:p>
    <w:p w14:paraId="7110AF73">
      <w:pPr>
        <w:pStyle w:val="31"/>
        <w:widowControl/>
        <w:ind w:firstLine="640"/>
        <w:rPr>
          <w:rFonts w:hint="eastAsia" w:eastAsia="仿宋_GB2312" w:cs="仿宋_GB2312"/>
          <w:color w:val="auto"/>
          <w:sz w:val="32"/>
          <w:szCs w:val="32"/>
          <w:highlight w:val="none"/>
          <w:lang w:val="en-US" w:eastAsia="zh-CN"/>
        </w:rPr>
      </w:pPr>
      <w:r>
        <w:rPr>
          <w:rFonts w:hint="eastAsia" w:eastAsia="仿宋_GB2312" w:cs="仿宋_GB2312"/>
          <w:color w:val="auto"/>
          <w:sz w:val="32"/>
          <w:szCs w:val="32"/>
          <w:highlight w:val="none"/>
        </w:rPr>
        <w:t>X为参与</w:t>
      </w:r>
      <w:r>
        <w:rPr>
          <w:rFonts w:hint="eastAsia" w:eastAsia="仿宋_GB2312" w:cs="仿宋_GB2312"/>
          <w:color w:val="auto"/>
          <w:sz w:val="32"/>
          <w:szCs w:val="32"/>
          <w:highlight w:val="none"/>
          <w:lang w:eastAsia="zh-CN"/>
        </w:rPr>
        <w:t>有功响应</w:t>
      </w:r>
      <w:r>
        <w:rPr>
          <w:rFonts w:hint="eastAsia" w:eastAsia="仿宋_GB2312" w:cs="仿宋_GB2312"/>
          <w:color w:val="auto"/>
          <w:sz w:val="32"/>
          <w:szCs w:val="32"/>
          <w:highlight w:val="none"/>
        </w:rPr>
        <w:t>的响应系数</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取值详见附录11;</w:t>
      </w:r>
    </w:p>
    <w:p w14:paraId="632E24B1">
      <w:pPr>
        <w:pStyle w:val="10"/>
        <w:outlineLvl w:val="9"/>
        <w:rPr>
          <w:rFonts w:hint="eastAsia" w:ascii="Times New Roman" w:hAnsi="Times New Roman" w:eastAsia="仿宋_GB2312" w:cs="Times New Roman"/>
          <w:b w:val="0"/>
          <w:bCs w:val="0"/>
          <w:color w:val="auto"/>
          <w:sz w:val="32"/>
          <w:szCs w:val="32"/>
          <w:highlight w:val="none"/>
          <w:lang w:val="en-US" w:eastAsia="zh-CN"/>
        </w:rPr>
      </w:pPr>
      <m:oMath>
        <m:sSub>
          <m:sSubPr>
            <m:ctrlPr>
              <w:rPr>
                <w:rFonts w:hint="eastAsia" w:ascii="Cambria Math" w:hAnsi="Cambria Math" w:eastAsia="仿宋_GB2312"/>
                <w:bCs/>
                <w:color w:val="auto"/>
                <w:sz w:val="32"/>
                <w:szCs w:val="48"/>
                <w:highlight w:val="none"/>
              </w:rPr>
            </m:ctrlPr>
          </m:sSubPr>
          <m:e>
            <m:r>
              <m:rPr>
                <m:sty m:val="p"/>
              </m:rPr>
              <w:rPr>
                <w:rFonts w:hint="default" w:ascii="Cambria Math" w:hAnsi="Cambria Math" w:eastAsia="仿宋_GB2312"/>
                <w:color w:val="auto"/>
                <w:sz w:val="32"/>
                <w:szCs w:val="48"/>
                <w:highlight w:val="none"/>
                <w:lang w:val="en-US" w:eastAsia="zh-CN"/>
              </w:rPr>
              <m:t>L</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t基线负荷</m:t>
            </m:r>
            <m:ctrlPr>
              <w:rPr>
                <w:rFonts w:hint="eastAsia" w:ascii="Cambria Math" w:hAnsi="Cambria Math" w:eastAsia="仿宋_GB2312"/>
                <w:bCs/>
                <w:color w:val="auto"/>
                <w:sz w:val="32"/>
                <w:szCs w:val="48"/>
                <w:highlight w:val="none"/>
              </w:rPr>
            </m:ctrlPr>
          </m:sub>
        </m:sSub>
      </m:oMath>
      <w:r>
        <w:rPr>
          <w:rFonts w:hint="default" w:ascii="Times New Roman" w:hAnsi="Times New Roman" w:eastAsia="仿宋_GB2312" w:cs="Times New Roman"/>
          <w:b w:val="0"/>
          <w:bCs w:val="0"/>
          <w:color w:val="auto"/>
          <w:sz w:val="32"/>
          <w:szCs w:val="32"/>
          <w:highlight w:val="none"/>
        </w:rPr>
        <w:t>为</w:t>
      </w:r>
      <w:r>
        <w:rPr>
          <w:rFonts w:hint="eastAsia" w:ascii="Times New Roman" w:hAnsi="Times New Roman" w:eastAsia="仿宋_GB2312" w:cs="Times New Roman"/>
          <w:b w:val="0"/>
          <w:bCs w:val="0"/>
          <w:color w:val="auto"/>
          <w:sz w:val="32"/>
          <w:szCs w:val="32"/>
          <w:highlight w:val="none"/>
          <w:lang w:eastAsia="zh-CN"/>
        </w:rPr>
        <w:t>用户</w:t>
      </w:r>
      <w:r>
        <w:rPr>
          <w:rFonts w:ascii="Times New Roman" w:hAnsi="Times New Roman" w:eastAsia="仿宋_GB2312" w:cs="Times New Roman"/>
          <w:b w:val="0"/>
          <w:bCs w:val="0"/>
          <w:color w:val="auto"/>
          <w:sz w:val="32"/>
          <w:szCs w:val="32"/>
          <w:highlight w:val="none"/>
        </w:rPr>
        <w:t>基准功率</w:t>
      </w:r>
      <w:r>
        <w:rPr>
          <w:rFonts w:hint="eastAsia" w:ascii="Times New Roman" w:hAnsi="Times New Roman" w:eastAsia="仿宋_GB2312" w:cs="Times New Roman"/>
          <w:b w:val="0"/>
          <w:bCs w:val="0"/>
          <w:color w:val="auto"/>
          <w:sz w:val="32"/>
          <w:szCs w:val="32"/>
          <w:highlight w:val="none"/>
          <w:lang w:eastAsia="zh-CN"/>
        </w:rPr>
        <w:t>，</w:t>
      </w:r>
      <w:r>
        <w:rPr>
          <w:rFonts w:ascii="Times New Roman" w:hAnsi="Times New Roman" w:eastAsia="仿宋_GB2312" w:cs="Times New Roman"/>
          <w:b w:val="0"/>
          <w:bCs w:val="0"/>
          <w:color w:val="auto"/>
          <w:sz w:val="32"/>
          <w:szCs w:val="32"/>
          <w:highlight w:val="none"/>
        </w:rPr>
        <w:t>虚拟电厂运营商的基准功率为聚合的</w:t>
      </w:r>
      <w:r>
        <w:rPr>
          <w:rFonts w:hint="eastAsia" w:ascii="Times New Roman" w:hAnsi="Times New Roman" w:eastAsia="仿宋_GB2312" w:cs="Times New Roman"/>
          <w:b w:val="0"/>
          <w:bCs w:val="0"/>
          <w:color w:val="auto"/>
          <w:sz w:val="32"/>
          <w:szCs w:val="32"/>
          <w:highlight w:val="none"/>
          <w:lang w:eastAsia="zh-CN"/>
        </w:rPr>
        <w:t>用户</w:t>
      </w:r>
      <w:r>
        <w:rPr>
          <w:rFonts w:ascii="Times New Roman" w:hAnsi="Times New Roman" w:eastAsia="仿宋_GB2312" w:cs="Times New Roman"/>
          <w:b w:val="0"/>
          <w:bCs w:val="0"/>
          <w:color w:val="auto"/>
          <w:sz w:val="32"/>
          <w:szCs w:val="32"/>
          <w:highlight w:val="none"/>
        </w:rPr>
        <w:t>基准功率之和</w:t>
      </w:r>
      <w:r>
        <w:rPr>
          <w:rFonts w:hint="eastAsia" w:ascii="Times New Roman" w:hAnsi="Times New Roman" w:eastAsia="仿宋_GB2312" w:cs="Times New Roman"/>
          <w:b w:val="0"/>
          <w:bCs w:val="0"/>
          <w:color w:val="auto"/>
          <w:sz w:val="32"/>
          <w:szCs w:val="32"/>
          <w:highlight w:val="none"/>
          <w:lang w:eastAsia="zh-CN"/>
        </w:rPr>
        <w:t>；</w:t>
      </w:r>
    </w:p>
    <w:p w14:paraId="352A2834">
      <w:pPr>
        <w:pStyle w:val="10"/>
        <w:outlineLvl w:val="9"/>
        <w:rPr>
          <w:rFonts w:hint="default" w:eastAsia="仿宋_GB2312" w:cs="仿宋_GB2312"/>
          <w:color w:val="auto"/>
          <w:sz w:val="32"/>
          <w:szCs w:val="32"/>
          <w:highlight w:val="none"/>
          <w:lang w:val="en-US" w:eastAsia="zh-CN"/>
        </w:rPr>
      </w:pPr>
      <m:oMath>
        <m:sSub>
          <m:sSubPr>
            <m:ctrlPr>
              <w:rPr>
                <w:rFonts w:hint="eastAsia" w:ascii="Cambria Math" w:hAnsi="Cambria Math" w:eastAsia="仿宋_GB2312"/>
                <w:b w:val="0"/>
                <w:bCs w:val="0"/>
                <w:color w:val="auto"/>
                <w:sz w:val="32"/>
                <w:szCs w:val="48"/>
                <w:highlight w:val="none"/>
              </w:rPr>
            </m:ctrlPr>
          </m:sSubPr>
          <m:e>
            <m:r>
              <m:rPr>
                <m:sty m:val="p"/>
              </m:rPr>
              <w:rPr>
                <w:rFonts w:hint="default" w:ascii="Cambria Math" w:hAnsi="Cambria Math" w:eastAsia="仿宋_GB2312"/>
                <w:color w:val="auto"/>
                <w:sz w:val="32"/>
                <w:szCs w:val="48"/>
                <w:highlight w:val="none"/>
                <w:lang w:val="en-US" w:eastAsia="zh-CN"/>
              </w:rPr>
              <m:t>L</m:t>
            </m:r>
            <m:ctrlPr>
              <w:rPr>
                <w:rFonts w:hint="eastAsia" w:ascii="Cambria Math" w:hAnsi="Cambria Math" w:eastAsia="仿宋_GB2312"/>
                <w:b w:val="0"/>
                <w:bCs w:val="0"/>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t实际负荷</m:t>
            </m:r>
            <m:ctrlPr>
              <w:rPr>
                <w:rFonts w:hint="eastAsia" w:ascii="Cambria Math" w:hAnsi="Cambria Math" w:eastAsia="仿宋_GB2312"/>
                <w:b w:val="0"/>
                <w:bCs w:val="0"/>
                <w:color w:val="auto"/>
                <w:sz w:val="32"/>
                <w:szCs w:val="48"/>
                <w:highlight w:val="none"/>
              </w:rPr>
            </m:ctrlPr>
          </m:sub>
        </m:sSub>
      </m:oMath>
      <w:r>
        <w:rPr>
          <w:rFonts w:hint="eastAsia" w:hAnsi="Cambria Math" w:eastAsia="仿宋_GB2312"/>
          <w:b w:val="0"/>
          <w:bCs w:val="0"/>
          <w:i w:val="0"/>
          <w:color w:val="auto"/>
          <w:sz w:val="32"/>
          <w:szCs w:val="48"/>
          <w:highlight w:val="none"/>
          <w:lang w:val="en-US" w:eastAsia="zh-CN"/>
        </w:rPr>
        <w:t>为响应主体的实际负荷，向电网放电时为负；</w:t>
      </w:r>
    </w:p>
    <w:p w14:paraId="0DB64777">
      <w:pPr>
        <w:pStyle w:val="31"/>
        <w:widowControl/>
        <w:ind w:firstLine="640"/>
        <w:rPr>
          <w:rFonts w:hint="eastAsia" w:eastAsia="仿宋_GB2312" w:cs="仿宋_GB2312"/>
          <w:color w:val="auto"/>
          <w:sz w:val="32"/>
          <w:szCs w:val="32"/>
          <w:highlight w:val="none"/>
          <w:lang w:val="en-US" w:eastAsia="zh-CN"/>
        </w:rPr>
      </w:pPr>
      <w:r>
        <w:rPr>
          <w:rFonts w:hint="eastAsia" w:hAnsi="Cambria Math" w:cs="Cambria Math"/>
          <w:b w:val="0"/>
          <w:bCs w:val="0"/>
          <w:i w:val="0"/>
          <w:color w:val="auto"/>
          <w:sz w:val="32"/>
          <w:szCs w:val="32"/>
          <w:highlight w:val="none"/>
          <w:lang w:val="en-US" w:eastAsia="zh-CN"/>
        </w:rPr>
        <w:t>R</w:t>
      </w:r>
      <w:r>
        <w:rPr>
          <w:rFonts w:hint="eastAsia" w:hAnsi="Cambria Math" w:cs="Cambria Math"/>
          <w:b w:val="0"/>
          <w:bCs w:val="0"/>
          <w:i w:val="0"/>
          <w:color w:val="auto"/>
          <w:sz w:val="32"/>
          <w:szCs w:val="32"/>
          <w:highlight w:val="none"/>
          <w:vertAlign w:val="subscript"/>
          <w:lang w:val="en-US" w:eastAsia="zh-CN"/>
        </w:rPr>
        <w:t>1</w:t>
      </w:r>
      <w:r>
        <w:rPr>
          <w:rFonts w:hint="eastAsia" w:eastAsia="仿宋_GB2312" w:cs="仿宋_GB2312"/>
          <w:color w:val="auto"/>
          <w:sz w:val="32"/>
          <w:szCs w:val="32"/>
          <w:highlight w:val="none"/>
          <w:lang w:val="en-US" w:eastAsia="zh-CN"/>
        </w:rPr>
        <w:t>为有功响应基准价，取值详见附录11；</w:t>
      </w:r>
    </w:p>
    <w:p w14:paraId="55840DD1">
      <w:pPr>
        <w:pStyle w:val="31"/>
        <w:widowControl/>
        <w:ind w:firstLine="640"/>
        <w:rPr>
          <w:rFonts w:hint="default" w:eastAsia="仿宋_GB2312" w:cs="仿宋_GB2312"/>
          <w:color w:val="auto"/>
          <w:sz w:val="32"/>
          <w:szCs w:val="32"/>
          <w:highlight w:val="none"/>
          <w:lang w:val="en-US" w:eastAsia="zh-CN"/>
        </w:rPr>
      </w:pPr>
      <w:r>
        <w:rPr>
          <w:rFonts w:hint="eastAsia" w:eastAsia="仿宋_GB2312" w:cs="仿宋_GB2312"/>
          <w:color w:val="auto"/>
          <w:sz w:val="32"/>
          <w:szCs w:val="32"/>
          <w:highlight w:val="none"/>
          <w:lang w:val="en-US" w:eastAsia="zh-CN"/>
        </w:rPr>
        <w:t>f为有功响应类型的补贴价格系数，日前响应取f</w:t>
      </w:r>
      <w:r>
        <w:rPr>
          <w:rFonts w:hint="eastAsia" w:eastAsia="仿宋_GB2312" w:cs="仿宋_GB2312"/>
          <w:color w:val="auto"/>
          <w:sz w:val="32"/>
          <w:szCs w:val="32"/>
          <w:highlight w:val="none"/>
          <w:vertAlign w:val="subscript"/>
          <w:lang w:val="en-US" w:eastAsia="zh-CN"/>
        </w:rPr>
        <w:t>1</w:t>
      </w:r>
      <w:r>
        <w:rPr>
          <w:rFonts w:hint="eastAsia" w:eastAsia="仿宋_GB2312" w:cs="仿宋_GB2312"/>
          <w:color w:val="auto"/>
          <w:sz w:val="32"/>
          <w:szCs w:val="32"/>
          <w:highlight w:val="none"/>
          <w:lang w:val="en-US" w:eastAsia="zh-CN"/>
        </w:rPr>
        <w:t>,日内响应取f</w:t>
      </w:r>
      <w:r>
        <w:rPr>
          <w:rFonts w:hint="eastAsia" w:eastAsia="仿宋_GB2312" w:cs="仿宋_GB2312"/>
          <w:color w:val="auto"/>
          <w:sz w:val="32"/>
          <w:szCs w:val="32"/>
          <w:highlight w:val="none"/>
          <w:vertAlign w:val="subscript"/>
          <w:lang w:val="en-US" w:eastAsia="zh-CN"/>
        </w:rPr>
        <w:t>2</w:t>
      </w:r>
      <w:r>
        <w:rPr>
          <w:rFonts w:hint="eastAsia" w:eastAsia="仿宋_GB2312" w:cs="仿宋_GB2312"/>
          <w:color w:val="auto"/>
          <w:sz w:val="32"/>
          <w:szCs w:val="32"/>
          <w:highlight w:val="none"/>
          <w:lang w:val="en-US" w:eastAsia="zh-CN"/>
        </w:rPr>
        <w:t>，取值详见附录11。</w:t>
      </w:r>
    </w:p>
    <w:p w14:paraId="0E960E30">
      <w:pPr>
        <w:pStyle w:val="33"/>
        <w:numPr>
          <w:ilvl w:val="0"/>
          <w:numId w:val="5"/>
        </w:numPr>
        <w:tabs>
          <w:tab w:val="left" w:pos="6720"/>
        </w:tabs>
        <w:spacing w:line="560" w:lineRule="exact"/>
        <w:ind w:firstLine="732" w:firstLineChars="228"/>
        <w:rPr>
          <w:rFonts w:hint="default" w:ascii="Times New Roman" w:hAnsi="Times New Roman" w:eastAsia="仿宋_GB2312" w:cs="Times New Roman"/>
          <w:b/>
          <w:color w:val="auto"/>
          <w:sz w:val="32"/>
          <w:szCs w:val="32"/>
          <w:highlight w:val="none"/>
        </w:rPr>
      </w:pPr>
      <w:r>
        <w:rPr>
          <w:rFonts w:ascii="Times New Roman" w:hAnsi="Times New Roman" w:eastAsia="仿宋_GB2312" w:cs="Times New Roman"/>
          <w:b/>
          <w:color w:val="auto"/>
          <w:sz w:val="32"/>
          <w:szCs w:val="32"/>
          <w:highlight w:val="none"/>
        </w:rPr>
        <w:t>备用服务</w:t>
      </w:r>
    </w:p>
    <w:p w14:paraId="30C073C5">
      <w:pPr>
        <w:pStyle w:val="33"/>
        <w:tabs>
          <w:tab w:val="left" w:pos="6720"/>
        </w:tabs>
        <w:spacing w:line="560" w:lineRule="exact"/>
        <w:ind w:firstLine="640"/>
        <w:rPr>
          <w:rFonts w:ascii="方正仿宋_GBK" w:eastAsia="仿宋_GB2312"/>
          <w:bCs/>
          <w:color w:val="auto"/>
          <w:sz w:val="32"/>
          <w:szCs w:val="48"/>
          <w:highlight w:val="none"/>
        </w:rPr>
      </w:pPr>
      <w:r>
        <w:rPr>
          <w:rFonts w:ascii="方正仿宋_GBK" w:eastAsia="仿宋_GB2312"/>
          <w:bCs/>
          <w:color w:val="auto"/>
          <w:sz w:val="32"/>
          <w:szCs w:val="48"/>
          <w:highlight w:val="none"/>
        </w:rPr>
        <w:t>（一）备用服务按照季度进行统一核算，其中，响应主体在季度累计无效响应次数达到2次，则季度结算费用按照50%发放，无效响应次数达到3次，则取消该响应主体季度备用服务结算发放。</w:t>
      </w:r>
    </w:p>
    <w:p w14:paraId="3ED761E2">
      <w:pPr>
        <w:pStyle w:val="33"/>
        <w:tabs>
          <w:tab w:val="left" w:pos="6720"/>
        </w:tabs>
        <w:spacing w:line="560" w:lineRule="exact"/>
        <w:ind w:firstLine="640"/>
        <w:rPr>
          <w:rFonts w:ascii="方正仿宋_GBK" w:eastAsia="仿宋_GB2312"/>
          <w:bCs/>
          <w:color w:val="auto"/>
          <w:sz w:val="32"/>
          <w:szCs w:val="48"/>
          <w:highlight w:val="none"/>
        </w:rPr>
      </w:pPr>
      <w:r>
        <w:rPr>
          <w:rFonts w:ascii="方正仿宋_GBK" w:eastAsia="仿宋_GB2312"/>
          <w:bCs/>
          <w:color w:val="auto"/>
          <w:sz w:val="32"/>
          <w:szCs w:val="48"/>
          <w:highlight w:val="none"/>
        </w:rPr>
        <w:t>（二）备用补贴费用为调用补贴费用与容量补贴费用之和，即</w:t>
      </w:r>
    </w:p>
    <w:p w14:paraId="79D5D7FC">
      <w:pPr>
        <w:pStyle w:val="33"/>
        <w:tabs>
          <w:tab w:val="left" w:pos="6720"/>
        </w:tabs>
        <w:spacing w:line="560" w:lineRule="exact"/>
        <w:ind w:firstLine="640"/>
        <w:rPr>
          <w:rFonts w:ascii="方正仿宋_GBK" w:eastAsia="仿宋_GB2312"/>
          <w:bCs/>
          <w:color w:val="auto"/>
          <w:sz w:val="32"/>
          <w:szCs w:val="48"/>
          <w:highlight w:val="none"/>
        </w:rPr>
      </w:pPr>
      <m:oMathPara>
        <m:oMath>
          <m:sSub>
            <m:sSubPr>
              <m:ctrlPr>
                <w:rPr>
                  <w:rFonts w:ascii="Cambria Math" w:hAnsi="Cambria Math" w:cs="Times New Roman"/>
                  <w:i/>
                  <w:color w:val="auto"/>
                  <w:sz w:val="32"/>
                  <w:szCs w:val="32"/>
                  <w:highlight w:val="none"/>
                </w:rPr>
              </m:ctrlPr>
            </m:sSubPr>
            <m:e>
              <m:r>
                <m:rPr/>
                <w:rPr>
                  <w:rFonts w:hint="default" w:ascii="Cambria Math" w:hAnsi="Cambria Math" w:cs="Times New Roman"/>
                  <w:color w:val="auto"/>
                  <w:sz w:val="32"/>
                  <w:szCs w:val="32"/>
                  <w:highlight w:val="none"/>
                </w:rPr>
                <m:t>R</m:t>
              </m:r>
              <m:ctrlPr>
                <w:rPr>
                  <w:rFonts w:ascii="Cambria Math" w:hAnsi="Cambria Math" w:cs="Times New Roman"/>
                  <w:i/>
                  <w:color w:val="auto"/>
                  <w:sz w:val="32"/>
                  <w:szCs w:val="32"/>
                  <w:highlight w:val="none"/>
                </w:rPr>
              </m:ctrlPr>
            </m:e>
            <m:sub>
              <m:r>
                <m:rPr>
                  <m:sty m:val="p"/>
                </m:rPr>
                <w:rPr>
                  <w:rFonts w:ascii="Cambria Math" w:hAnsi="Cambria Math" w:eastAsia="仿宋_GB2312" w:cs="Times New Roman"/>
                  <w:color w:val="auto"/>
                  <w:sz w:val="32"/>
                  <w:szCs w:val="32"/>
                  <w:highlight w:val="none"/>
                </w:rPr>
                <m:t>备用补贴费用</m:t>
              </m:r>
              <m:ctrlPr>
                <w:rPr>
                  <w:rFonts w:ascii="Cambria Math" w:hAnsi="Cambria Math" w:cs="Times New Roman"/>
                  <w:i/>
                  <w:color w:val="auto"/>
                  <w:sz w:val="32"/>
                  <w:szCs w:val="32"/>
                  <w:highlight w:val="none"/>
                </w:rPr>
              </m:ctrlPr>
            </m:sub>
          </m:sSub>
          <m:r>
            <m:rPr/>
            <w:rPr>
              <w:rFonts w:hint="default" w:ascii="Cambria Math" w:hAnsi="Cambria Math" w:cs="Times New Roman"/>
              <w:color w:val="auto"/>
              <w:sz w:val="32"/>
              <w:szCs w:val="32"/>
              <w:highlight w:val="none"/>
            </w:rPr>
            <m:t>=</m:t>
          </m:r>
          <m:sSub>
            <m:sSubPr>
              <m:ctrlPr>
                <w:rPr>
                  <w:rFonts w:hint="default" w:ascii="Cambria Math" w:hAnsi="Cambria Math" w:cs="Times New Roman"/>
                  <w:i/>
                  <w:color w:val="auto"/>
                  <w:sz w:val="32"/>
                  <w:szCs w:val="32"/>
                  <w:highlight w:val="none"/>
                </w:rPr>
              </m:ctrlPr>
            </m:sSubPr>
            <m:e>
              <m:r>
                <m:rPr/>
                <w:rPr>
                  <w:rFonts w:hint="default" w:ascii="Cambria Math" w:hAnsi="Cambria Math" w:cs="Times New Roman"/>
                  <w:color w:val="auto"/>
                  <w:sz w:val="32"/>
                  <w:szCs w:val="32"/>
                  <w:highlight w:val="none"/>
                </w:rPr>
                <m:t>R</m:t>
              </m:r>
              <m:ctrlPr>
                <w:rPr>
                  <w:rFonts w:hint="default" w:ascii="Cambria Math" w:hAnsi="Cambria Math" w:cs="Times New Roman"/>
                  <w:i/>
                  <w:color w:val="auto"/>
                  <w:sz w:val="32"/>
                  <w:szCs w:val="32"/>
                  <w:highlight w:val="none"/>
                </w:rPr>
              </m:ctrlPr>
            </m:e>
            <m:sub>
              <m:r>
                <m:rPr>
                  <m:sty m:val="p"/>
                </m:rPr>
                <w:rPr>
                  <w:rFonts w:ascii="Cambria Math" w:hAnsi="Cambria Math" w:eastAsia="仿宋_GB2312" w:cs="Times New Roman"/>
                  <w:color w:val="auto"/>
                  <w:sz w:val="32"/>
                  <w:szCs w:val="32"/>
                  <w:highlight w:val="none"/>
                </w:rPr>
                <m:t>调用补贴</m:t>
              </m:r>
              <m:ctrlPr>
                <w:rPr>
                  <w:rFonts w:hint="default" w:ascii="Cambria Math" w:hAnsi="Cambria Math" w:cs="Times New Roman"/>
                  <w:i/>
                  <w:color w:val="auto"/>
                  <w:sz w:val="32"/>
                  <w:szCs w:val="32"/>
                  <w:highlight w:val="none"/>
                </w:rPr>
              </m:ctrlPr>
            </m:sub>
          </m:sSub>
          <m:r>
            <m:rPr/>
            <w:rPr>
              <w:rFonts w:ascii="Cambria Math" w:hAnsi="Cambria Math" w:cs="Times New Roman"/>
              <w:color w:val="auto"/>
              <w:sz w:val="32"/>
              <w:szCs w:val="32"/>
              <w:highlight w:val="none"/>
            </w:rPr>
            <m:t>+</m:t>
          </m:r>
          <m:sSub>
            <m:sSubPr>
              <m:ctrlPr>
                <w:rPr>
                  <w:rFonts w:hint="default" w:ascii="Cambria Math" w:hAnsi="Cambria Math" w:cs="Cambria Math"/>
                  <w:i/>
                  <w:color w:val="auto"/>
                  <w:sz w:val="32"/>
                  <w:szCs w:val="32"/>
                  <w:highlight w:val="none"/>
                </w:rPr>
              </m:ctrlPr>
            </m:sSubPr>
            <m:e>
              <m:r>
                <m:rPr/>
                <w:rPr>
                  <w:rFonts w:hint="default" w:ascii="Cambria Math" w:hAnsi="Cambria Math" w:cs="Cambria Math"/>
                  <w:color w:val="auto"/>
                  <w:sz w:val="32"/>
                  <w:szCs w:val="32"/>
                  <w:highlight w:val="none"/>
                </w:rPr>
                <m:t>R</m:t>
              </m:r>
              <m:ctrlPr>
                <w:rPr>
                  <w:rFonts w:hint="default" w:ascii="Cambria Math" w:hAnsi="Cambria Math" w:cs="Cambria Math"/>
                  <w:i/>
                  <w:color w:val="auto"/>
                  <w:sz w:val="32"/>
                  <w:szCs w:val="32"/>
                  <w:highlight w:val="none"/>
                </w:rPr>
              </m:ctrlPr>
            </m:e>
            <m:sub>
              <m:r>
                <m:rPr>
                  <m:sty m:val="p"/>
                </m:rPr>
                <w:rPr>
                  <w:rFonts w:ascii="Cambria Math" w:hAnsi="Cambria Math" w:eastAsia="仿宋_GB2312" w:cs="Times New Roman"/>
                  <w:color w:val="auto"/>
                  <w:sz w:val="32"/>
                  <w:szCs w:val="32"/>
                  <w:highlight w:val="none"/>
                </w:rPr>
                <m:t>容量补贴</m:t>
              </m:r>
              <m:ctrlPr>
                <w:rPr>
                  <w:rFonts w:hint="default" w:ascii="Cambria Math" w:hAnsi="Cambria Math" w:cs="Cambria Math"/>
                  <w:i/>
                  <w:color w:val="auto"/>
                  <w:sz w:val="32"/>
                  <w:szCs w:val="32"/>
                  <w:highlight w:val="none"/>
                </w:rPr>
              </m:ctrlPr>
            </m:sub>
          </m:sSub>
        </m:oMath>
      </m:oMathPara>
    </w:p>
    <w:p w14:paraId="46233FDB">
      <w:pPr>
        <w:spacing w:line="560" w:lineRule="exact"/>
        <w:ind w:firstLine="640" w:firstLineChars="200"/>
        <w:rPr>
          <w:rFonts w:hAnsi="Cambria Math" w:eastAsia="仿宋_GB2312"/>
          <w:bCs/>
          <w:color w:val="auto"/>
          <w:sz w:val="32"/>
          <w:szCs w:val="48"/>
          <w:highlight w:val="none"/>
        </w:rPr>
      </w:pPr>
      <w:r>
        <w:rPr>
          <w:rFonts w:hint="eastAsia" w:hAnsi="Cambria Math" w:eastAsia="仿宋_GB2312"/>
          <w:bCs/>
          <w:color w:val="auto"/>
          <w:sz w:val="32"/>
          <w:szCs w:val="48"/>
          <w:highlight w:val="none"/>
        </w:rPr>
        <w:t>①</w:t>
      </w:r>
      <w:r>
        <w:rPr>
          <w:rFonts w:hint="eastAsia" w:ascii="方正仿宋_GBK" w:eastAsia="仿宋_GB2312"/>
          <w:bCs/>
          <w:color w:val="auto"/>
          <w:sz w:val="32"/>
          <w:szCs w:val="48"/>
          <w:highlight w:val="none"/>
        </w:rPr>
        <w:t>被调用时，响应主体有效调用的补贴费用为：</w:t>
      </w:r>
    </w:p>
    <w:p w14:paraId="49E37A18">
      <w:pPr>
        <w:spacing w:line="560" w:lineRule="exact"/>
        <w:ind w:firstLine="640" w:firstLineChars="200"/>
        <w:rPr>
          <w:rFonts w:hAnsi="Cambria Math" w:eastAsia="仿宋_GB2312"/>
          <w:bCs/>
          <w:color w:val="auto"/>
          <w:sz w:val="32"/>
          <w:szCs w:val="48"/>
          <w:highlight w:val="none"/>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R</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调用补贴</m:t>
            </m:r>
            <m:ctrlPr>
              <w:rPr>
                <w:rFonts w:hint="eastAsia" w:ascii="Cambria Math" w:hAnsi="Cambria Math" w:eastAsia="仿宋_GB2312"/>
                <w:bCs/>
                <w:color w:val="auto"/>
                <w:sz w:val="32"/>
                <w:szCs w:val="48"/>
                <w:highlight w:val="none"/>
              </w:rPr>
            </m:ctrlPr>
          </m:sub>
        </m:sSub>
        <m:r>
          <m:rPr>
            <m:sty m:val="p"/>
          </m:rPr>
          <w:rPr>
            <w:rFonts w:hint="eastAsia" w:ascii="Cambria Math" w:hAnsi="Cambria Math" w:eastAsia="仿宋_GB2312"/>
            <w:color w:val="auto"/>
            <w:sz w:val="32"/>
            <w:szCs w:val="48"/>
            <w:highlight w:val="none"/>
          </w:rPr>
          <m:t>=</m:t>
        </m:r>
        <m:nary>
          <m:naryPr>
            <m:chr m:val="∑"/>
            <m:limLoc m:val="undOvr"/>
            <m:subHide m:val="1"/>
            <m:supHide m:val="1"/>
            <m:ctrlPr>
              <w:rPr>
                <w:rFonts w:hint="eastAsia" w:ascii="Cambria Math" w:hAnsi="Cambria Math" w:eastAsia="仿宋_GB2312"/>
                <w:color w:val="auto"/>
                <w:sz w:val="32"/>
                <w:szCs w:val="48"/>
                <w:highlight w:val="none"/>
              </w:rPr>
            </m:ctrlPr>
          </m:naryPr>
          <m:sub>
            <m:ctrlPr>
              <w:rPr>
                <w:rFonts w:hint="eastAsia" w:ascii="Cambria Math" w:hAnsi="Cambria Math" w:eastAsia="仿宋_GB2312"/>
                <w:color w:val="auto"/>
                <w:sz w:val="32"/>
                <w:szCs w:val="48"/>
                <w:highlight w:val="none"/>
              </w:rPr>
            </m:ctrlPr>
          </m:sub>
          <m:sup>
            <m:ctrlPr>
              <w:rPr>
                <w:rFonts w:hint="eastAsia" w:ascii="Cambria Math" w:hAnsi="Cambria Math" w:eastAsia="仿宋_GB2312"/>
                <w:color w:val="auto"/>
                <w:sz w:val="32"/>
                <w:szCs w:val="48"/>
                <w:highlight w:val="none"/>
              </w:rPr>
            </m:ctrlPr>
          </m:sup>
          <m:e>
            <m:d>
              <m:dPr>
                <m:ctrlPr>
                  <w:rPr>
                    <w:rFonts w:hint="eastAsia" w:ascii="Cambria Math" w:hAnsi="Cambria Math" w:eastAsia="仿宋_GB2312"/>
                    <w:color w:val="auto"/>
                    <w:sz w:val="32"/>
                    <w:szCs w:val="48"/>
                    <w:highlight w:val="none"/>
                  </w:rPr>
                </m:ctrlPr>
              </m:dPr>
              <m:e>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Q</m:t>
                    </m:r>
                    <m:ctrlPr>
                      <w:rPr>
                        <w:rFonts w:hint="eastAsia" w:ascii="Cambria Math" w:hAnsi="Cambria Math" w:eastAsia="仿宋_GB2312"/>
                        <w:bCs/>
                        <w:color w:val="auto"/>
                        <w:sz w:val="32"/>
                        <w:szCs w:val="48"/>
                        <w:highlight w:val="none"/>
                      </w:rPr>
                    </m:ctrlPr>
                  </m:e>
                  <m:sub>
                    <m:r>
                      <m:rPr>
                        <m:sty m:val="p"/>
                      </m:rPr>
                      <w:rPr>
                        <w:rFonts w:hint="default" w:ascii="Cambria Math" w:hAnsi="Cambria Math" w:eastAsia="仿宋_GB2312"/>
                        <w:color w:val="auto"/>
                        <w:sz w:val="32"/>
                        <w:szCs w:val="48"/>
                        <w:highlight w:val="none"/>
                        <w:lang w:val="en-US" w:eastAsia="zh-CN"/>
                      </w:rPr>
                      <m:t>t</m:t>
                    </m:r>
                    <m:r>
                      <m:rPr>
                        <m:sty m:val="p"/>
                      </m:rPr>
                      <w:rPr>
                        <w:rFonts w:hint="eastAsia" w:ascii="Cambria Math" w:hAnsi="Cambria Math" w:eastAsia="仿宋_GB2312"/>
                        <w:color w:val="auto"/>
                        <w:sz w:val="32"/>
                        <w:szCs w:val="48"/>
                        <w:highlight w:val="none"/>
                      </w:rPr>
                      <m:t>有效</m:t>
                    </m:r>
                    <m:r>
                      <m:rPr>
                        <m:sty m:val="p"/>
                      </m:rPr>
                      <w:rPr>
                        <w:rFonts w:hint="eastAsia" w:ascii="Cambria Math" w:hAnsi="Cambria Math" w:eastAsia="仿宋_GB2312"/>
                        <w:color w:val="auto"/>
                        <w:sz w:val="32"/>
                        <w:szCs w:val="48"/>
                        <w:highlight w:val="none"/>
                        <w:lang w:val="en-US" w:eastAsia="zh-CN"/>
                      </w:rPr>
                      <m:t>调节</m:t>
                    </m:r>
                    <m:r>
                      <m:rPr>
                        <m:sty m:val="p"/>
                      </m:rPr>
                      <w:rPr>
                        <w:rFonts w:hint="eastAsia" w:ascii="Cambria Math" w:hAnsi="Cambria Math" w:eastAsia="仿宋_GB2312"/>
                        <w:color w:val="auto"/>
                        <w:sz w:val="32"/>
                        <w:szCs w:val="48"/>
                        <w:highlight w:val="none"/>
                      </w:rPr>
                      <m:t>功率</m:t>
                    </m:r>
                    <m:ctrlPr>
                      <w:rPr>
                        <w:rFonts w:hint="eastAsia" w:ascii="Cambria Math" w:hAnsi="Cambria Math" w:eastAsia="仿宋_GB2312"/>
                        <w:bCs/>
                        <w:color w:val="auto"/>
                        <w:sz w:val="32"/>
                        <w:szCs w:val="48"/>
                        <w:highlight w:val="none"/>
                      </w:rPr>
                    </m:ctrlPr>
                  </m:sub>
                </m:sSub>
                <m:r>
                  <m:rPr>
                    <m:sty m:val="p"/>
                  </m:rPr>
                  <w:rPr>
                    <w:rFonts w:hint="eastAsia" w:ascii="Cambria Math" w:hAnsi="Cambria Math" w:eastAsia="仿宋_GB2312"/>
                    <w:color w:val="auto"/>
                    <w:sz w:val="32"/>
                    <w:szCs w:val="48"/>
                    <w:highlight w:val="none"/>
                  </w:rPr>
                  <m:t>×</m:t>
                </m:r>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P</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调用</m:t>
                    </m:r>
                    <m:r>
                      <m:rPr>
                        <m:sty m:val="p"/>
                      </m:rPr>
                      <w:rPr>
                        <w:rFonts w:hint="eastAsia" w:ascii="Cambria Math" w:hAnsi="Cambria Math" w:eastAsia="仿宋_GB2312"/>
                        <w:color w:val="auto"/>
                        <w:sz w:val="32"/>
                        <w:szCs w:val="48"/>
                        <w:highlight w:val="none"/>
                      </w:rPr>
                      <m:t>补贴价格</m:t>
                    </m:r>
                    <m:ctrlPr>
                      <w:rPr>
                        <w:rFonts w:hint="eastAsia" w:ascii="Cambria Math" w:hAnsi="Cambria Math" w:eastAsia="仿宋_GB2312"/>
                        <w:bCs/>
                        <w:color w:val="auto"/>
                        <w:sz w:val="32"/>
                        <w:szCs w:val="48"/>
                        <w:highlight w:val="none"/>
                      </w:rPr>
                    </m:ctrlPr>
                  </m:sub>
                </m:sSub>
                <m:r>
                  <m:rPr>
                    <m:sty m:val="p"/>
                  </m:rPr>
                  <w:rPr>
                    <w:rFonts w:hint="eastAsia" w:ascii="Cambria Math" w:hAnsi="Cambria Math" w:eastAsia="仿宋_GB2312"/>
                    <w:color w:val="auto"/>
                    <w:sz w:val="32"/>
                    <w:szCs w:val="48"/>
                    <w:highlight w:val="none"/>
                  </w:rPr>
                  <m:t>×</m:t>
                </m:r>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T</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调用时长</m:t>
                    </m:r>
                    <m:ctrlPr>
                      <w:rPr>
                        <w:rFonts w:hint="eastAsia" w:ascii="Cambria Math" w:hAnsi="Cambria Math" w:eastAsia="仿宋_GB2312"/>
                        <w:bCs/>
                        <w:color w:val="auto"/>
                        <w:sz w:val="32"/>
                        <w:szCs w:val="48"/>
                        <w:highlight w:val="none"/>
                      </w:rPr>
                    </m:ctrlPr>
                  </m:sub>
                </m:sSub>
                <m:ctrlPr>
                  <w:rPr>
                    <w:rFonts w:hint="eastAsia" w:ascii="Cambria Math" w:hAnsi="Cambria Math" w:eastAsia="仿宋_GB2312"/>
                    <w:color w:val="auto"/>
                    <w:sz w:val="32"/>
                    <w:szCs w:val="48"/>
                    <w:highlight w:val="none"/>
                  </w:rPr>
                </m:ctrlPr>
              </m:e>
            </m:d>
            <m:ctrlPr>
              <w:rPr>
                <w:rFonts w:hint="eastAsia" w:ascii="Cambria Math" w:hAnsi="Cambria Math" w:eastAsia="仿宋_GB2312"/>
                <w:color w:val="auto"/>
                <w:sz w:val="32"/>
                <w:szCs w:val="48"/>
                <w:highlight w:val="none"/>
              </w:rPr>
            </m:ctrlPr>
          </m:e>
        </m:nary>
      </m:oMath>
      <w:r>
        <w:rPr>
          <w:rFonts w:hint="eastAsia" w:hAnsi="Cambria Math" w:eastAsia="仿宋_GB2312"/>
          <w:bCs/>
          <w:color w:val="auto"/>
          <w:sz w:val="32"/>
          <w:szCs w:val="48"/>
          <w:highlight w:val="none"/>
        </w:rPr>
        <w:t xml:space="preserve"> </w:t>
      </w:r>
    </w:p>
    <w:p w14:paraId="49C9B12C">
      <w:pPr>
        <w:pStyle w:val="10"/>
        <w:spacing w:line="560" w:lineRule="exact"/>
        <w:ind w:firstLine="643"/>
        <w:outlineLvl w:val="9"/>
        <w:rPr>
          <w:rFonts w:hint="eastAsia" w:hAnsi="Cambria Math" w:eastAsia="仿宋_GB2312"/>
          <w:b w:val="0"/>
          <w:bCs w:val="0"/>
          <w:i w:val="0"/>
          <w:color w:val="auto"/>
          <w:szCs w:val="48"/>
          <w:highlight w:val="none"/>
        </w:rPr>
      </w:pPr>
      <m:oMathPara>
        <m:oMath>
          <m:sSub>
            <m:sSubPr>
              <m:ctrlPr>
                <w:rPr>
                  <w:rFonts w:hint="eastAsia" w:ascii="Cambria Math" w:hAnsi="Cambria Math" w:eastAsia="仿宋_GB2312"/>
                  <w:b w:val="0"/>
                  <w:bCs w:val="0"/>
                  <w:color w:val="auto"/>
                  <w:szCs w:val="48"/>
                  <w:highlight w:val="none"/>
                </w:rPr>
              </m:ctrlPr>
            </m:sSubPr>
            <m:e>
              <m:r>
                <m:rPr>
                  <m:sty m:val="p"/>
                </m:rPr>
                <w:rPr>
                  <w:rFonts w:hint="default" w:ascii="Cambria Math" w:hAnsi="Cambria Math" w:eastAsia="仿宋_GB2312"/>
                  <w:color w:val="auto"/>
                  <w:szCs w:val="48"/>
                  <w:highlight w:val="none"/>
                </w:rPr>
                <m:t>Q</m:t>
              </m:r>
              <m:ctrlPr>
                <w:rPr>
                  <w:rFonts w:hint="eastAsia" w:ascii="Cambria Math" w:hAnsi="Cambria Math" w:eastAsia="仿宋_GB2312"/>
                  <w:b w:val="0"/>
                  <w:bCs w:val="0"/>
                  <w:color w:val="auto"/>
                  <w:szCs w:val="48"/>
                  <w:highlight w:val="none"/>
                </w:rPr>
              </m:ctrlPr>
            </m:e>
            <m:sub>
              <m:r>
                <m:rPr>
                  <m:sty m:val="p"/>
                </m:rPr>
                <w:rPr>
                  <w:rFonts w:hint="default" w:ascii="Cambria Math" w:hAnsi="Cambria Math" w:eastAsia="仿宋_GB2312"/>
                  <w:color w:val="auto"/>
                  <w:szCs w:val="48"/>
                  <w:highlight w:val="none"/>
                  <w:lang w:val="en-US" w:eastAsia="zh-CN"/>
                </w:rPr>
                <m:t>t</m:t>
              </m:r>
              <m:r>
                <m:rPr>
                  <m:sty m:val="p"/>
                </m:rPr>
                <w:rPr>
                  <w:rFonts w:hint="eastAsia" w:ascii="Cambria Math" w:hAnsi="Cambria Math" w:eastAsia="仿宋_GB2312"/>
                  <w:color w:val="auto"/>
                  <w:szCs w:val="48"/>
                  <w:highlight w:val="none"/>
                </w:rPr>
                <m:t>有效调节功率</m:t>
              </m:r>
              <m:ctrlPr>
                <w:rPr>
                  <w:rFonts w:hint="eastAsia" w:ascii="Cambria Math" w:hAnsi="Cambria Math" w:eastAsia="仿宋_GB2312"/>
                  <w:b w:val="0"/>
                  <w:bCs w:val="0"/>
                  <w:color w:val="auto"/>
                  <w:szCs w:val="48"/>
                  <w:highlight w:val="none"/>
                </w:rPr>
              </m:ctrlPr>
            </m:sub>
          </m:sSub>
          <m:r>
            <m:rPr>
              <m:sty m:val="p"/>
            </m:rPr>
            <w:rPr>
              <w:rFonts w:hint="eastAsia" w:ascii="Cambria Math" w:hAnsi="Cambria Math" w:eastAsia="仿宋_GB2312"/>
              <w:color w:val="auto"/>
              <w:szCs w:val="48"/>
              <w:highlight w:val="none"/>
            </w:rPr>
            <m:t>=</m:t>
          </m:r>
          <m:sSub>
            <m:sSubPr>
              <m:ctrlPr>
                <w:rPr>
                  <w:rFonts w:hint="eastAsia" w:ascii="Cambria Math" w:hAnsi="Cambria Math" w:eastAsia="仿宋_GB2312"/>
                  <w:b w:val="0"/>
                  <w:bCs w:val="0"/>
                  <w:color w:val="auto"/>
                  <w:szCs w:val="48"/>
                  <w:highlight w:val="none"/>
                </w:rPr>
              </m:ctrlPr>
            </m:sSubPr>
            <m:e>
              <m:r>
                <m:rPr>
                  <m:sty m:val="p"/>
                </m:rPr>
                <w:rPr>
                  <w:rFonts w:hint="default" w:ascii="Cambria Math" w:hAnsi="Cambria Math" w:eastAsia="仿宋_GB2312"/>
                  <w:color w:val="auto"/>
                  <w:szCs w:val="48"/>
                  <w:highlight w:val="none"/>
                </w:rPr>
                <m:t>L</m:t>
              </m:r>
              <m:ctrlPr>
                <w:rPr>
                  <w:rFonts w:hint="eastAsia" w:ascii="Cambria Math" w:hAnsi="Cambria Math" w:eastAsia="仿宋_GB2312"/>
                  <w:b w:val="0"/>
                  <w:bCs w:val="0"/>
                  <w:color w:val="auto"/>
                  <w:szCs w:val="48"/>
                  <w:highlight w:val="none"/>
                </w:rPr>
              </m:ctrlPr>
            </m:e>
            <m:sub>
              <m:r>
                <m:rPr>
                  <m:sty m:val="p"/>
                </m:rPr>
                <w:rPr>
                  <w:rFonts w:hint="eastAsia" w:ascii="Cambria Math" w:hAnsi="Cambria Math" w:eastAsia="仿宋_GB2312"/>
                  <w:color w:val="auto"/>
                  <w:szCs w:val="48"/>
                  <w:highlight w:val="none"/>
                  <w:lang w:val="en-US" w:eastAsia="zh-CN"/>
                </w:rPr>
                <m:t>实时基线</m:t>
              </m:r>
              <m:ctrlPr>
                <w:rPr>
                  <w:rFonts w:hint="eastAsia" w:ascii="Cambria Math" w:hAnsi="Cambria Math" w:eastAsia="仿宋_GB2312"/>
                  <w:b w:val="0"/>
                  <w:bCs w:val="0"/>
                  <w:color w:val="auto"/>
                  <w:szCs w:val="48"/>
                  <w:highlight w:val="none"/>
                </w:rPr>
              </m:ctrlPr>
            </m:sub>
          </m:sSub>
          <m:r>
            <m:rPr>
              <m:sty m:val="p"/>
            </m:rPr>
            <w:rPr>
              <w:rFonts w:ascii="Cambria Math" w:hAnsi="Cambria Math" w:eastAsia="仿宋_GB2312"/>
              <w:color w:val="auto"/>
              <w:szCs w:val="48"/>
              <w:highlight w:val="none"/>
            </w:rPr>
            <m:t>−</m:t>
          </m:r>
          <m:sSub>
            <m:sSubPr>
              <m:ctrlPr>
                <w:rPr>
                  <w:rFonts w:hint="eastAsia" w:ascii="Cambria Math" w:hAnsi="Cambria Math" w:eastAsia="仿宋_GB2312"/>
                  <w:b w:val="0"/>
                  <w:bCs w:val="0"/>
                  <w:color w:val="auto"/>
                  <w:szCs w:val="48"/>
                  <w:highlight w:val="none"/>
                </w:rPr>
              </m:ctrlPr>
            </m:sSubPr>
            <m:e>
              <m:r>
                <m:rPr>
                  <m:sty m:val="p"/>
                </m:rPr>
                <w:rPr>
                  <w:rFonts w:hint="default" w:ascii="Cambria Math" w:hAnsi="Cambria Math" w:eastAsia="仿宋_GB2312"/>
                  <w:color w:val="auto"/>
                  <w:szCs w:val="48"/>
                  <w:highlight w:val="none"/>
                </w:rPr>
                <m:t>L</m:t>
              </m:r>
              <m:ctrlPr>
                <w:rPr>
                  <w:rFonts w:hint="eastAsia" w:ascii="Cambria Math" w:hAnsi="Cambria Math" w:eastAsia="仿宋_GB2312"/>
                  <w:b w:val="0"/>
                  <w:bCs w:val="0"/>
                  <w:color w:val="auto"/>
                  <w:szCs w:val="48"/>
                  <w:highlight w:val="none"/>
                </w:rPr>
              </m:ctrlPr>
            </m:e>
            <m:sub>
              <m:r>
                <m:rPr>
                  <m:sty m:val="p"/>
                </m:rPr>
                <w:rPr>
                  <w:rFonts w:hint="default" w:ascii="Cambria Math" w:hAnsi="Cambria Math" w:eastAsia="仿宋_GB2312"/>
                  <w:color w:val="auto"/>
                  <w:szCs w:val="48"/>
                  <w:highlight w:val="none"/>
                  <w:lang w:val="en-US" w:eastAsia="zh-CN"/>
                </w:rPr>
                <m:t>t</m:t>
              </m:r>
              <m:r>
                <m:rPr>
                  <m:sty m:val="p"/>
                </m:rPr>
                <w:rPr>
                  <w:rFonts w:hint="eastAsia" w:ascii="Cambria Math" w:hAnsi="Cambria Math" w:eastAsia="仿宋_GB2312"/>
                  <w:color w:val="auto"/>
                  <w:szCs w:val="48"/>
                  <w:highlight w:val="none"/>
                </w:rPr>
                <m:t>实际负荷</m:t>
              </m:r>
              <m:ctrlPr>
                <w:rPr>
                  <w:rFonts w:hint="eastAsia" w:ascii="Cambria Math" w:hAnsi="Cambria Math" w:eastAsia="仿宋_GB2312"/>
                  <w:b w:val="0"/>
                  <w:bCs w:val="0"/>
                  <w:color w:val="auto"/>
                  <w:szCs w:val="48"/>
                  <w:highlight w:val="none"/>
                </w:rPr>
              </m:ctrlPr>
            </m:sub>
          </m:sSub>
        </m:oMath>
      </m:oMathPara>
    </w:p>
    <w:p w14:paraId="44E2AB8A">
      <w:pPr>
        <w:pStyle w:val="11"/>
        <w:jc w:val="center"/>
        <w:outlineLvl w:val="9"/>
        <w:rPr>
          <w:rFonts w:hint="default" w:hAnsi="Arial" w:eastAsia="黑体"/>
          <w:i w:val="0"/>
          <w:color w:val="auto"/>
          <w:szCs w:val="32"/>
          <w:highlight w:val="none"/>
          <w:lang w:val="en-US" w:eastAsia="zh-CN"/>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P</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调用</m:t>
            </m:r>
            <m:r>
              <m:rPr>
                <m:sty m:val="p"/>
              </m:rPr>
              <w:rPr>
                <w:rFonts w:hint="eastAsia" w:ascii="Cambria Math" w:hAnsi="Cambria Math" w:eastAsia="仿宋_GB2312"/>
                <w:color w:val="auto"/>
                <w:sz w:val="32"/>
                <w:szCs w:val="48"/>
                <w:highlight w:val="none"/>
              </w:rPr>
              <m:t>补贴价格</m:t>
            </m:r>
            <m:ctrlPr>
              <w:rPr>
                <w:rFonts w:hint="eastAsia" w:ascii="Cambria Math" w:hAnsi="Cambria Math" w:eastAsia="仿宋_GB2312"/>
                <w:bCs/>
                <w:color w:val="auto"/>
                <w:sz w:val="32"/>
                <w:szCs w:val="48"/>
                <w:highlight w:val="none"/>
              </w:rPr>
            </m:ctrlPr>
          </m:sub>
        </m:sSub>
      </m:oMath>
      <w:r>
        <w:rPr>
          <w:rFonts w:hint="eastAsia" w:hAnsi="Cambria Math" w:eastAsia="仿宋_GB2312"/>
          <w:bCs/>
          <w:i w:val="0"/>
          <w:color w:val="auto"/>
          <w:sz w:val="32"/>
          <w:szCs w:val="48"/>
          <w:highlight w:val="none"/>
          <w:lang w:val="en-US" w:eastAsia="zh-CN"/>
        </w:rPr>
        <w:t>=</w:t>
      </w:r>
      <m:oMath>
        <m:sSub>
          <m:sSubPr>
            <m:ctrlPr>
              <w:rPr>
                <w:rFonts w:ascii="Cambria Math" w:hAnsi="Cambria Math" w:cs="Cambria Math"/>
                <w:b w:val="0"/>
                <w:bCs w:val="0"/>
                <w:i/>
                <w:color w:val="auto"/>
                <w:sz w:val="32"/>
                <w:szCs w:val="32"/>
                <w:highlight w:val="none"/>
              </w:rPr>
            </m:ctrlPr>
          </m:sSubPr>
          <m:e>
            <m:r>
              <m:rPr/>
              <w:rPr>
                <w:rFonts w:hint="default" w:ascii="Cambria Math" w:hAnsi="Cambria Math" w:cs="Cambria Math"/>
                <w:color w:val="auto"/>
                <w:sz w:val="32"/>
                <w:szCs w:val="32"/>
                <w:highlight w:val="none"/>
              </w:rPr>
              <m:t>P</m:t>
            </m:r>
            <m:ctrlPr>
              <w:rPr>
                <w:rFonts w:ascii="Cambria Math" w:hAnsi="Cambria Math" w:cs="Cambria Math"/>
                <w:b w:val="0"/>
                <w:bCs w:val="0"/>
                <w:i/>
                <w:color w:val="auto"/>
                <w:sz w:val="32"/>
                <w:szCs w:val="32"/>
                <w:highlight w:val="none"/>
              </w:rPr>
            </m:ctrlPr>
          </m:e>
          <m:sub>
            <m:r>
              <m:rPr>
                <m:sty m:val="p"/>
              </m:rPr>
              <w:rPr>
                <w:rFonts w:hint="eastAsia" w:ascii="Cambria Math" w:hAnsi="Cambria Math" w:eastAsia="方正仿宋_GB2312" w:cs="方正仿宋_GB2312"/>
                <w:color w:val="auto"/>
                <w:sz w:val="32"/>
                <w:szCs w:val="32"/>
                <w:highlight w:val="none"/>
                <w:lang w:val="en-US" w:eastAsia="zh-CN"/>
              </w:rPr>
              <m:t>响应</m:t>
            </m:r>
            <m:r>
              <m:rPr>
                <m:sty m:val="p"/>
              </m:rPr>
              <w:rPr>
                <w:rFonts w:hint="eastAsia" w:ascii="Cambria Math" w:hAnsi="Cambria Math" w:eastAsia="方正仿宋_GB2312" w:cs="方正仿宋_GB2312"/>
                <w:color w:val="auto"/>
                <w:sz w:val="32"/>
                <w:szCs w:val="32"/>
                <w:highlight w:val="none"/>
              </w:rPr>
              <m:t>补贴价格</m:t>
            </m:r>
            <m:ctrlPr>
              <w:rPr>
                <w:rFonts w:ascii="Cambria Math" w:hAnsi="Cambria Math" w:cs="Cambria Math"/>
                <w:b w:val="0"/>
                <w:bCs w:val="0"/>
                <w:i/>
                <w:color w:val="auto"/>
                <w:sz w:val="32"/>
                <w:szCs w:val="32"/>
                <w:highlight w:val="none"/>
              </w:rPr>
            </m:ctrlPr>
          </m:sub>
        </m:sSub>
        <m:r>
          <m:rPr/>
          <w:rPr>
            <w:rFonts w:ascii="Cambria Math" w:hAnsi="Cambria Math" w:cs="Cambria Math"/>
            <w:color w:val="auto"/>
            <w:sz w:val="32"/>
            <w:szCs w:val="32"/>
            <w:highlight w:val="none"/>
          </w:rPr>
          <m:t>×</m:t>
        </m:r>
      </m:oMath>
      <w:r>
        <w:rPr>
          <w:rFonts w:hint="eastAsia" w:hAnsi="Cambria Math" w:cs="Cambria Math"/>
          <w:b w:val="0"/>
          <w:bCs w:val="0"/>
          <w:i w:val="0"/>
          <w:color w:val="auto"/>
          <w:sz w:val="32"/>
          <w:szCs w:val="32"/>
          <w:highlight w:val="none"/>
          <w:lang w:val="en-US" w:eastAsia="zh-CN"/>
        </w:rPr>
        <w:t>f</w:t>
      </w:r>
      <w:r>
        <w:rPr>
          <w:rFonts w:hint="eastAsia" w:hAnsi="Cambria Math" w:cs="Cambria Math"/>
          <w:b w:val="0"/>
          <w:bCs w:val="0"/>
          <w:i w:val="0"/>
          <w:color w:val="auto"/>
          <w:sz w:val="32"/>
          <w:szCs w:val="32"/>
          <w:highlight w:val="none"/>
          <w:vertAlign w:val="subscript"/>
          <w:lang w:val="en-US" w:eastAsia="zh-CN"/>
        </w:rPr>
        <w:t>3</w:t>
      </w:r>
    </w:p>
    <w:p w14:paraId="048F88F0">
      <w:pPr>
        <w:spacing w:line="560" w:lineRule="exact"/>
        <w:rPr>
          <w:rFonts w:hAnsi="Cambria Math" w:eastAsia="仿宋_GB2312"/>
          <w:bCs/>
          <w:color w:val="auto"/>
          <w:sz w:val="32"/>
          <w:szCs w:val="48"/>
          <w:highlight w:val="none"/>
        </w:rPr>
      </w:pPr>
      <w:r>
        <w:rPr>
          <w:rFonts w:hint="eastAsia" w:hAnsi="Cambria Math" w:eastAsia="仿宋_GB2312"/>
          <w:bCs/>
          <w:color w:val="auto"/>
          <w:sz w:val="32"/>
          <w:szCs w:val="48"/>
          <w:highlight w:val="none"/>
        </w:rPr>
        <w:t>其中：</w:t>
      </w:r>
    </w:p>
    <w:p w14:paraId="2AE28931">
      <w:pPr>
        <w:spacing w:line="560" w:lineRule="exact"/>
        <w:ind w:firstLine="640" w:firstLineChars="200"/>
        <w:rPr>
          <w:rFonts w:hAnsi="Cambria Math" w:eastAsia="仿宋_GB2312"/>
          <w:bCs/>
          <w:color w:val="auto"/>
          <w:sz w:val="32"/>
          <w:szCs w:val="48"/>
          <w:highlight w:val="none"/>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R</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调用补贴</m:t>
            </m:r>
            <m:ctrlPr>
              <w:rPr>
                <w:rFonts w:hint="eastAsia" w:ascii="Cambria Math" w:hAnsi="Cambria Math" w:eastAsia="仿宋_GB2312"/>
                <w:bCs/>
                <w:color w:val="auto"/>
                <w:sz w:val="32"/>
                <w:szCs w:val="48"/>
                <w:highlight w:val="none"/>
              </w:rPr>
            </m:ctrlPr>
          </m:sub>
        </m:sSub>
      </m:oMath>
      <w:r>
        <w:rPr>
          <w:rFonts w:hint="eastAsia" w:hAnsi="Cambria Math" w:eastAsia="仿宋_GB2312"/>
          <w:bCs/>
          <w:color w:val="auto"/>
          <w:sz w:val="32"/>
          <w:szCs w:val="48"/>
          <w:highlight w:val="none"/>
        </w:rPr>
        <w:t>为调用补贴费用；</w:t>
      </w:r>
    </w:p>
    <w:p w14:paraId="7201AAA3">
      <w:pPr>
        <w:spacing w:line="560" w:lineRule="exact"/>
        <w:ind w:firstLine="640" w:firstLineChars="200"/>
        <w:rPr>
          <w:rFonts w:hAnsi="Cambria Math" w:eastAsia="仿宋_GB2312"/>
          <w:bCs/>
          <w:color w:val="auto"/>
          <w:sz w:val="32"/>
          <w:szCs w:val="48"/>
          <w:highlight w:val="none"/>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Q</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t</m:t>
            </m:r>
            <m:r>
              <m:rPr>
                <m:sty m:val="p"/>
              </m:rPr>
              <w:rPr>
                <w:rFonts w:hint="eastAsia" w:ascii="Cambria Math" w:hAnsi="Cambria Math" w:eastAsia="仿宋_GB2312"/>
                <w:color w:val="auto"/>
                <w:sz w:val="32"/>
                <w:szCs w:val="48"/>
                <w:highlight w:val="none"/>
              </w:rPr>
              <m:t>有效</m:t>
            </m:r>
            <m:r>
              <m:rPr>
                <m:sty m:val="p"/>
              </m:rPr>
              <w:rPr>
                <w:rFonts w:hint="eastAsia" w:ascii="Cambria Math" w:hAnsi="Cambria Math" w:eastAsia="仿宋_GB2312"/>
                <w:color w:val="auto"/>
                <w:sz w:val="32"/>
                <w:szCs w:val="48"/>
                <w:highlight w:val="none"/>
                <w:lang w:val="en-US" w:eastAsia="zh-CN"/>
              </w:rPr>
              <m:t>调节</m:t>
            </m:r>
            <m:r>
              <m:rPr>
                <m:sty m:val="p"/>
              </m:rPr>
              <w:rPr>
                <w:rFonts w:hint="eastAsia" w:ascii="Cambria Math" w:hAnsi="Cambria Math" w:eastAsia="仿宋_GB2312"/>
                <w:color w:val="auto"/>
                <w:sz w:val="32"/>
                <w:szCs w:val="48"/>
                <w:highlight w:val="none"/>
              </w:rPr>
              <m:t>功率</m:t>
            </m:r>
            <m:ctrlPr>
              <w:rPr>
                <w:rFonts w:hint="eastAsia" w:ascii="Cambria Math" w:hAnsi="Cambria Math" w:eastAsia="仿宋_GB2312"/>
                <w:bCs/>
                <w:color w:val="auto"/>
                <w:sz w:val="32"/>
                <w:szCs w:val="48"/>
                <w:highlight w:val="none"/>
              </w:rPr>
            </m:ctrlPr>
          </m:sub>
        </m:sSub>
      </m:oMath>
      <w:r>
        <w:rPr>
          <w:rFonts w:hint="eastAsia" w:hAnsi="Cambria Math" w:eastAsia="仿宋_GB2312"/>
          <w:bCs/>
          <w:color w:val="auto"/>
          <w:sz w:val="32"/>
          <w:szCs w:val="48"/>
          <w:highlight w:val="none"/>
        </w:rPr>
        <w:t>为调用时段的有效响应功率；若为负数，则取0；</w:t>
      </w:r>
    </w:p>
    <w:p w14:paraId="3C908FA8">
      <w:pPr>
        <w:spacing w:line="560" w:lineRule="exact"/>
        <w:ind w:firstLine="640" w:firstLineChars="200"/>
        <w:rPr>
          <w:rFonts w:hint="eastAsia" w:hAnsi="Cambria Math" w:eastAsia="仿宋_GB2312"/>
          <w:bCs/>
          <w:color w:val="auto"/>
          <w:sz w:val="32"/>
          <w:szCs w:val="48"/>
          <w:highlight w:val="none"/>
          <w:lang w:val="en-US" w:eastAsia="zh-CN"/>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P</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调用</m:t>
            </m:r>
            <m:r>
              <m:rPr>
                <m:sty m:val="p"/>
              </m:rPr>
              <w:rPr>
                <w:rFonts w:hint="eastAsia" w:ascii="Cambria Math" w:hAnsi="Cambria Math" w:eastAsia="仿宋_GB2312"/>
                <w:color w:val="auto"/>
                <w:sz w:val="32"/>
                <w:szCs w:val="48"/>
                <w:highlight w:val="none"/>
              </w:rPr>
              <m:t>补贴价格</m:t>
            </m:r>
            <m:ctrlPr>
              <w:rPr>
                <w:rFonts w:hint="eastAsia" w:ascii="Cambria Math" w:hAnsi="Cambria Math" w:eastAsia="仿宋_GB2312"/>
                <w:bCs/>
                <w:color w:val="auto"/>
                <w:sz w:val="32"/>
                <w:szCs w:val="48"/>
                <w:highlight w:val="none"/>
              </w:rPr>
            </m:ctrlPr>
          </m:sub>
        </m:sSub>
      </m:oMath>
      <w:r>
        <w:rPr>
          <w:rFonts w:hint="eastAsia" w:hAnsi="Cambria Math" w:eastAsia="仿宋_GB2312"/>
          <w:bCs/>
          <w:color w:val="auto"/>
          <w:sz w:val="32"/>
          <w:szCs w:val="48"/>
          <w:highlight w:val="none"/>
        </w:rPr>
        <w:t>为调用补贴价格，</w:t>
      </w:r>
      <w:r>
        <w:rPr>
          <w:rFonts w:hint="eastAsia" w:hAnsi="Cambria Math" w:eastAsia="仿宋_GB2312"/>
          <w:bCs/>
          <w:color w:val="auto"/>
          <w:sz w:val="32"/>
          <w:szCs w:val="48"/>
          <w:highlight w:val="none"/>
          <w:lang w:val="en-US" w:eastAsia="zh-CN"/>
        </w:rPr>
        <w:t>按实时有功响应补贴为准；</w:t>
      </w:r>
    </w:p>
    <w:p w14:paraId="4D72A9EB">
      <w:pPr>
        <w:spacing w:line="560" w:lineRule="exact"/>
        <w:ind w:firstLine="640" w:firstLineChars="200"/>
        <w:rPr>
          <w:rFonts w:hint="default" w:hAnsi="Cambria Math" w:cs="Cambria Math"/>
          <w:b w:val="0"/>
          <w:bCs w:val="0"/>
          <w:i w:val="0"/>
          <w:color w:val="auto"/>
          <w:sz w:val="32"/>
          <w:szCs w:val="32"/>
          <w:highlight w:val="none"/>
          <w:vertAlign w:val="baseline"/>
          <w:lang w:val="en-US" w:eastAsia="zh-CN"/>
        </w:rPr>
      </w:pPr>
      <m:oMath>
        <m:sSub>
          <m:sSubPr>
            <m:ctrlPr>
              <w:rPr>
                <w:rFonts w:hint="eastAsia" w:ascii="Cambria Math" w:hAnsi="Cambria Math" w:eastAsia="仿宋_GB2312" w:cs="仿宋_GB2312"/>
                <w:b w:val="0"/>
                <w:bCs w:val="0"/>
                <w:i/>
                <w:color w:val="auto"/>
                <w:sz w:val="32"/>
                <w:szCs w:val="32"/>
                <w:highlight w:val="none"/>
              </w:rPr>
            </m:ctrlPr>
          </m:sSubPr>
          <m:e>
            <m:r>
              <m:rPr/>
              <w:rPr>
                <w:rFonts w:hint="eastAsia" w:ascii="Cambria Math" w:hAnsi="Cambria Math" w:eastAsia="仿宋_GB2312" w:cs="仿宋_GB2312"/>
                <w:color w:val="auto"/>
                <w:sz w:val="32"/>
                <w:szCs w:val="32"/>
                <w:highlight w:val="none"/>
              </w:rPr>
              <m:t>P</m:t>
            </m:r>
            <m:ctrlPr>
              <w:rPr>
                <w:rFonts w:hint="eastAsia" w:ascii="Cambria Math" w:hAnsi="Cambria Math" w:eastAsia="仿宋_GB2312" w:cs="仿宋_GB2312"/>
                <w:b w:val="0"/>
                <w:bCs w:val="0"/>
                <w:i/>
                <w:color w:val="auto"/>
                <w:sz w:val="32"/>
                <w:szCs w:val="32"/>
                <w:highlight w:val="none"/>
              </w:rPr>
            </m:ctrlPr>
          </m:e>
          <m:sub>
            <m:r>
              <m:rPr>
                <m:sty m:val="p"/>
              </m:rPr>
              <w:rPr>
                <w:rFonts w:hint="eastAsia" w:ascii="Cambria Math" w:hAnsi="Cambria Math" w:eastAsia="仿宋_GB2312" w:cs="仿宋_GB2312"/>
                <w:color w:val="auto"/>
                <w:sz w:val="32"/>
                <w:szCs w:val="32"/>
                <w:highlight w:val="none"/>
                <w:lang w:val="en-US" w:eastAsia="zh-CN"/>
              </w:rPr>
              <m:t>响应</m:t>
            </m:r>
            <m:r>
              <m:rPr>
                <m:sty m:val="p"/>
              </m:rPr>
              <w:rPr>
                <w:rFonts w:hint="eastAsia" w:ascii="Cambria Math" w:hAnsi="Cambria Math" w:eastAsia="仿宋_GB2312" w:cs="仿宋_GB2312"/>
                <w:color w:val="auto"/>
                <w:sz w:val="32"/>
                <w:szCs w:val="32"/>
                <w:highlight w:val="none"/>
              </w:rPr>
              <m:t>补贴价格</m:t>
            </m:r>
            <m:ctrlPr>
              <w:rPr>
                <w:rFonts w:hint="eastAsia" w:ascii="Cambria Math" w:hAnsi="Cambria Math" w:eastAsia="仿宋_GB2312" w:cs="仿宋_GB2312"/>
                <w:b w:val="0"/>
                <w:bCs w:val="0"/>
                <w:i/>
                <w:color w:val="auto"/>
                <w:sz w:val="32"/>
                <w:szCs w:val="32"/>
                <w:highlight w:val="none"/>
              </w:rPr>
            </m:ctrlPr>
          </m:sub>
        </m:sSub>
      </m:oMath>
      <w:r>
        <w:rPr>
          <w:rFonts w:hint="eastAsia" w:ascii="仿宋_GB2312" w:hAnsi="仿宋_GB2312" w:eastAsia="仿宋_GB2312" w:cs="仿宋_GB2312"/>
          <w:b w:val="0"/>
          <w:bCs w:val="0"/>
          <w:i w:val="0"/>
          <w:color w:val="auto"/>
          <w:sz w:val="32"/>
          <w:szCs w:val="32"/>
          <w:highlight w:val="none"/>
          <w:lang w:val="en-US" w:eastAsia="zh-CN"/>
        </w:rPr>
        <w:t>为实时有功响应补贴价格，f取f</w:t>
      </w:r>
      <w:r>
        <w:rPr>
          <w:rFonts w:hint="eastAsia" w:ascii="仿宋_GB2312" w:hAnsi="仿宋_GB2312" w:eastAsia="仿宋_GB2312" w:cs="仿宋_GB2312"/>
          <w:b w:val="0"/>
          <w:bCs w:val="0"/>
          <w:i w:val="0"/>
          <w:color w:val="auto"/>
          <w:sz w:val="32"/>
          <w:szCs w:val="32"/>
          <w:highlight w:val="none"/>
          <w:vertAlign w:val="subscript"/>
          <w:lang w:val="en-US" w:eastAsia="zh-CN"/>
        </w:rPr>
        <w:t>3</w:t>
      </w:r>
      <w:r>
        <w:rPr>
          <w:rFonts w:hint="eastAsia" w:ascii="仿宋_GB2312" w:hAnsi="仿宋_GB2312" w:eastAsia="仿宋_GB2312" w:cs="仿宋_GB2312"/>
          <w:b w:val="0"/>
          <w:bCs w:val="0"/>
          <w:i w:val="0"/>
          <w:color w:val="auto"/>
          <w:sz w:val="32"/>
          <w:szCs w:val="32"/>
          <w:highlight w:val="none"/>
          <w:vertAlign w:val="baseline"/>
          <w:lang w:val="en-US" w:eastAsia="zh-CN"/>
        </w:rPr>
        <w:t>，取值详见附录11；</w:t>
      </w:r>
    </w:p>
    <w:p w14:paraId="32C8F6CE">
      <w:pPr>
        <w:spacing w:line="560" w:lineRule="exact"/>
        <w:ind w:firstLine="640" w:firstLineChars="200"/>
        <w:rPr>
          <w:rFonts w:hint="eastAsia" w:hAnsi="Cambria Math" w:eastAsia="仿宋_GB2312"/>
          <w:bCs/>
          <w:color w:val="auto"/>
          <w:sz w:val="32"/>
          <w:szCs w:val="48"/>
          <w:highlight w:val="none"/>
          <w:lang w:eastAsia="zh-CN"/>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T</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调用时长</m:t>
            </m:r>
            <m:ctrlPr>
              <w:rPr>
                <w:rFonts w:hint="eastAsia" w:ascii="Cambria Math" w:hAnsi="Cambria Math" w:eastAsia="仿宋_GB2312"/>
                <w:bCs/>
                <w:color w:val="auto"/>
                <w:sz w:val="32"/>
                <w:szCs w:val="48"/>
                <w:highlight w:val="none"/>
              </w:rPr>
            </m:ctrlPr>
          </m:sub>
        </m:sSub>
      </m:oMath>
      <w:r>
        <w:rPr>
          <w:rFonts w:hint="eastAsia" w:hAnsi="Cambria Math" w:eastAsia="仿宋_GB2312"/>
          <w:bCs/>
          <w:color w:val="auto"/>
          <w:sz w:val="32"/>
          <w:szCs w:val="48"/>
          <w:highlight w:val="none"/>
        </w:rPr>
        <w:t>为被调用的时长</w:t>
      </w:r>
      <w:r>
        <w:rPr>
          <w:rFonts w:hint="eastAsia" w:hAnsi="Cambria Math" w:eastAsia="仿宋_GB2312"/>
          <w:bCs/>
          <w:color w:val="auto"/>
          <w:sz w:val="32"/>
          <w:szCs w:val="48"/>
          <w:highlight w:val="none"/>
          <w:lang w:eastAsia="zh-CN"/>
        </w:rPr>
        <w:t>；</w:t>
      </w:r>
    </w:p>
    <w:p w14:paraId="555AF1D3">
      <w:pPr>
        <w:pStyle w:val="10"/>
        <w:outlineLvl w:val="9"/>
        <w:rPr>
          <w:rFonts w:hint="eastAsia" w:ascii="Times New Roman" w:hAnsi="Times New Roman" w:eastAsia="仿宋_GB2312" w:cs="Times New Roman"/>
          <w:b w:val="0"/>
          <w:bCs w:val="0"/>
          <w:color w:val="auto"/>
          <w:sz w:val="32"/>
          <w:szCs w:val="32"/>
          <w:highlight w:val="none"/>
          <w:lang w:val="en-US" w:eastAsia="zh-CN"/>
        </w:rPr>
      </w:pPr>
      <m:oMath>
        <m:sSub>
          <m:sSubPr>
            <m:ctrlPr>
              <w:rPr>
                <w:rFonts w:hint="eastAsia" w:ascii="Cambria Math" w:hAnsi="Cambria Math" w:eastAsia="仿宋_GB2312"/>
                <w:bCs/>
                <w:color w:val="auto"/>
                <w:sz w:val="32"/>
                <w:szCs w:val="48"/>
                <w:highlight w:val="none"/>
              </w:rPr>
            </m:ctrlPr>
          </m:sSubPr>
          <m:e>
            <m:r>
              <m:rPr>
                <m:sty m:val="p"/>
              </m:rPr>
              <w:rPr>
                <w:rFonts w:hint="default" w:ascii="Cambria Math" w:hAnsi="Cambria Math" w:eastAsia="仿宋_GB2312"/>
                <w:color w:val="auto"/>
                <w:sz w:val="32"/>
                <w:szCs w:val="48"/>
                <w:highlight w:val="none"/>
                <w:lang w:val="en-US" w:eastAsia="zh-CN"/>
              </w:rPr>
              <m:t>L</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实时基线</m:t>
            </m:r>
            <m:ctrlPr>
              <w:rPr>
                <w:rFonts w:hint="eastAsia" w:ascii="Cambria Math" w:hAnsi="Cambria Math" w:eastAsia="仿宋_GB2312"/>
                <w:bCs/>
                <w:color w:val="auto"/>
                <w:sz w:val="32"/>
                <w:szCs w:val="48"/>
                <w:highlight w:val="none"/>
              </w:rPr>
            </m:ctrlPr>
          </m:sub>
        </m:sSub>
      </m:oMath>
      <w:r>
        <w:rPr>
          <w:rFonts w:hint="default" w:ascii="Times New Roman" w:hAnsi="Times New Roman" w:eastAsia="仿宋_GB2312" w:cs="Times New Roman"/>
          <w:b w:val="0"/>
          <w:bCs w:val="0"/>
          <w:color w:val="auto"/>
          <w:sz w:val="32"/>
          <w:szCs w:val="32"/>
          <w:highlight w:val="none"/>
        </w:rPr>
        <w:t>为</w:t>
      </w:r>
      <w:r>
        <w:rPr>
          <w:rFonts w:hint="eastAsia" w:ascii="Times New Roman" w:hAnsi="Times New Roman" w:eastAsia="仿宋_GB2312" w:cs="Times New Roman"/>
          <w:b w:val="0"/>
          <w:bCs w:val="0"/>
          <w:color w:val="auto"/>
          <w:sz w:val="32"/>
          <w:szCs w:val="32"/>
          <w:highlight w:val="none"/>
          <w:lang w:eastAsia="zh-CN"/>
        </w:rPr>
        <w:t>用户</w:t>
      </w:r>
      <w:r>
        <w:rPr>
          <w:rFonts w:ascii="Times New Roman" w:hAnsi="Times New Roman" w:eastAsia="仿宋_GB2312" w:cs="Times New Roman"/>
          <w:b w:val="0"/>
          <w:bCs w:val="0"/>
          <w:color w:val="auto"/>
          <w:sz w:val="32"/>
          <w:szCs w:val="32"/>
          <w:highlight w:val="none"/>
        </w:rPr>
        <w:t>基准功率</w:t>
      </w:r>
      <w:r>
        <w:rPr>
          <w:rFonts w:hint="eastAsia" w:ascii="Times New Roman" w:hAnsi="Times New Roman" w:eastAsia="仿宋_GB2312" w:cs="Times New Roman"/>
          <w:b w:val="0"/>
          <w:bCs w:val="0"/>
          <w:color w:val="auto"/>
          <w:sz w:val="32"/>
          <w:szCs w:val="32"/>
          <w:highlight w:val="none"/>
          <w:lang w:eastAsia="zh-CN"/>
        </w:rPr>
        <w:t>，</w:t>
      </w:r>
      <w:r>
        <w:rPr>
          <w:rFonts w:ascii="Times New Roman" w:hAnsi="Times New Roman" w:eastAsia="仿宋_GB2312" w:cs="Times New Roman"/>
          <w:b w:val="0"/>
          <w:bCs w:val="0"/>
          <w:color w:val="auto"/>
          <w:sz w:val="32"/>
          <w:szCs w:val="32"/>
          <w:highlight w:val="none"/>
        </w:rPr>
        <w:t>虚拟电厂运营商的基准功率为聚合的</w:t>
      </w:r>
      <w:r>
        <w:rPr>
          <w:rFonts w:hint="eastAsia" w:ascii="Times New Roman" w:hAnsi="Times New Roman" w:eastAsia="仿宋_GB2312" w:cs="Times New Roman"/>
          <w:b w:val="0"/>
          <w:bCs w:val="0"/>
          <w:color w:val="auto"/>
          <w:sz w:val="32"/>
          <w:szCs w:val="32"/>
          <w:highlight w:val="none"/>
          <w:lang w:eastAsia="zh-CN"/>
        </w:rPr>
        <w:t>用户</w:t>
      </w:r>
      <w:r>
        <w:rPr>
          <w:rFonts w:ascii="Times New Roman" w:hAnsi="Times New Roman" w:eastAsia="仿宋_GB2312" w:cs="Times New Roman"/>
          <w:b w:val="0"/>
          <w:bCs w:val="0"/>
          <w:color w:val="auto"/>
          <w:sz w:val="32"/>
          <w:szCs w:val="32"/>
          <w:highlight w:val="none"/>
        </w:rPr>
        <w:t>基准功率之和</w:t>
      </w:r>
      <w:r>
        <w:rPr>
          <w:rFonts w:hint="eastAsia" w:ascii="Times New Roman" w:hAnsi="Times New Roman" w:eastAsia="仿宋_GB2312" w:cs="Times New Roman"/>
          <w:b w:val="0"/>
          <w:bCs w:val="0"/>
          <w:color w:val="auto"/>
          <w:sz w:val="32"/>
          <w:szCs w:val="32"/>
          <w:highlight w:val="none"/>
          <w:lang w:eastAsia="zh-CN"/>
        </w:rPr>
        <w:t>；</w:t>
      </w:r>
    </w:p>
    <w:p w14:paraId="3C6C6F97">
      <w:pPr>
        <w:pStyle w:val="10"/>
        <w:outlineLvl w:val="9"/>
        <w:rPr>
          <w:rFonts w:hint="eastAsia" w:hAnsi="Cambria Math" w:eastAsia="仿宋_GB2312"/>
          <w:b w:val="0"/>
          <w:bCs w:val="0"/>
          <w:i w:val="0"/>
          <w:color w:val="auto"/>
          <w:sz w:val="32"/>
          <w:szCs w:val="48"/>
          <w:highlight w:val="none"/>
          <w:lang w:val="en-US" w:eastAsia="zh-CN"/>
        </w:rPr>
      </w:pPr>
      <m:oMath>
        <m:sSub>
          <m:sSubPr>
            <m:ctrlPr>
              <w:rPr>
                <w:rFonts w:hint="eastAsia" w:ascii="Cambria Math" w:hAnsi="Cambria Math" w:eastAsia="仿宋_GB2312"/>
                <w:b w:val="0"/>
                <w:bCs w:val="0"/>
                <w:color w:val="auto"/>
                <w:sz w:val="32"/>
                <w:szCs w:val="48"/>
                <w:highlight w:val="none"/>
              </w:rPr>
            </m:ctrlPr>
          </m:sSubPr>
          <m:e>
            <m:r>
              <m:rPr>
                <m:sty m:val="p"/>
              </m:rPr>
              <w:rPr>
                <w:rFonts w:hint="default" w:ascii="Cambria Math" w:hAnsi="Cambria Math" w:eastAsia="仿宋_GB2312"/>
                <w:color w:val="auto"/>
                <w:sz w:val="32"/>
                <w:szCs w:val="48"/>
                <w:highlight w:val="none"/>
                <w:lang w:val="en-US" w:eastAsia="zh-CN"/>
              </w:rPr>
              <m:t>L</m:t>
            </m:r>
            <m:ctrlPr>
              <w:rPr>
                <w:rFonts w:hint="eastAsia" w:ascii="Cambria Math" w:hAnsi="Cambria Math" w:eastAsia="仿宋_GB2312"/>
                <w:b w:val="0"/>
                <w:bCs w:val="0"/>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t实际负荷</m:t>
            </m:r>
            <m:ctrlPr>
              <w:rPr>
                <w:rFonts w:hint="eastAsia" w:ascii="Cambria Math" w:hAnsi="Cambria Math" w:eastAsia="仿宋_GB2312"/>
                <w:b w:val="0"/>
                <w:bCs w:val="0"/>
                <w:color w:val="auto"/>
                <w:sz w:val="32"/>
                <w:szCs w:val="48"/>
                <w:highlight w:val="none"/>
              </w:rPr>
            </m:ctrlPr>
          </m:sub>
        </m:sSub>
      </m:oMath>
      <w:r>
        <w:rPr>
          <w:rFonts w:hint="eastAsia" w:hAnsi="Cambria Math" w:eastAsia="仿宋_GB2312"/>
          <w:b w:val="0"/>
          <w:bCs w:val="0"/>
          <w:i w:val="0"/>
          <w:color w:val="auto"/>
          <w:sz w:val="32"/>
          <w:szCs w:val="48"/>
          <w:highlight w:val="none"/>
          <w:lang w:val="en-US" w:eastAsia="zh-CN"/>
        </w:rPr>
        <w:t>为响应主体的实际负荷，向电网放电时为负。</w:t>
      </w:r>
    </w:p>
    <w:p w14:paraId="5B9C2951">
      <w:pPr>
        <w:pStyle w:val="31"/>
        <w:widowControl/>
        <w:ind w:firstLine="640"/>
        <w:rPr>
          <w:rFonts w:hint="eastAsia"/>
        </w:rPr>
      </w:pPr>
      <w:r>
        <w:rPr>
          <w:rFonts w:hint="eastAsia" w:eastAsia="仿宋_GB2312" w:cs="仿宋_GB2312"/>
          <w:color w:val="auto"/>
          <w:sz w:val="32"/>
          <w:szCs w:val="32"/>
          <w:highlight w:val="none"/>
          <w:lang w:val="en-US" w:eastAsia="zh-CN"/>
        </w:rPr>
        <w:t>f</w:t>
      </w:r>
      <w:r>
        <w:rPr>
          <w:rFonts w:hint="eastAsia" w:eastAsia="仿宋_GB2312" w:cs="仿宋_GB2312"/>
          <w:color w:val="auto"/>
          <w:sz w:val="32"/>
          <w:szCs w:val="32"/>
          <w:highlight w:val="none"/>
          <w:vertAlign w:val="subscript"/>
          <w:lang w:val="en-US" w:eastAsia="zh-CN"/>
        </w:rPr>
        <w:t>3</w:t>
      </w:r>
      <w:r>
        <w:rPr>
          <w:rFonts w:hint="eastAsia" w:eastAsia="仿宋_GB2312" w:cs="仿宋_GB2312"/>
          <w:color w:val="auto"/>
          <w:sz w:val="32"/>
          <w:szCs w:val="32"/>
          <w:highlight w:val="none"/>
          <w:lang w:val="en-US" w:eastAsia="zh-CN"/>
        </w:rPr>
        <w:t>为实时有功响应补贴价格系数，取值详见附录11。</w:t>
      </w:r>
    </w:p>
    <w:p w14:paraId="2E863B51">
      <w:pPr>
        <w:spacing w:line="560" w:lineRule="exact"/>
        <w:ind w:firstLine="640" w:firstLineChars="200"/>
        <w:rPr>
          <w:rFonts w:hAnsi="Cambria Math" w:eastAsia="仿宋_GB2312"/>
          <w:bCs/>
          <w:color w:val="auto"/>
          <w:sz w:val="32"/>
          <w:szCs w:val="48"/>
          <w:highlight w:val="none"/>
        </w:rPr>
      </w:pPr>
      <w:r>
        <w:rPr>
          <w:rFonts w:hint="eastAsia" w:hAnsi="Cambria Math" w:eastAsia="仿宋_GB2312"/>
          <w:bCs/>
          <w:color w:val="auto"/>
          <w:sz w:val="32"/>
          <w:szCs w:val="48"/>
          <w:highlight w:val="none"/>
        </w:rPr>
        <w:t>②未被调用时，容量备用补贴费用为：</w:t>
      </w:r>
    </w:p>
    <w:p w14:paraId="609119DD">
      <w:pPr>
        <w:spacing w:line="560" w:lineRule="exact"/>
        <w:ind w:firstLine="640" w:firstLineChars="200"/>
        <w:rPr>
          <w:rFonts w:hint="eastAsia" w:hAnsi="Cambria Math" w:eastAsia="仿宋_GB2312"/>
          <w:bCs/>
          <w:color w:val="auto"/>
          <w:sz w:val="32"/>
          <w:szCs w:val="48"/>
          <w:highlight w:val="none"/>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R</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容量补贴费用</m:t>
            </m:r>
            <m:ctrlPr>
              <w:rPr>
                <w:rFonts w:hint="eastAsia" w:ascii="Cambria Math" w:hAnsi="Cambria Math" w:eastAsia="仿宋_GB2312"/>
                <w:bCs/>
                <w:color w:val="auto"/>
                <w:sz w:val="32"/>
                <w:szCs w:val="48"/>
                <w:highlight w:val="none"/>
              </w:rPr>
            </m:ctrlPr>
          </m:sub>
        </m:sSub>
        <m:r>
          <m:rPr>
            <m:sty m:val="p"/>
          </m:rPr>
          <w:rPr>
            <w:rFonts w:hint="eastAsia" w:ascii="Cambria Math" w:hAnsi="Cambria Math" w:eastAsia="仿宋_GB2312"/>
            <w:color w:val="auto"/>
            <w:sz w:val="32"/>
            <w:szCs w:val="48"/>
            <w:highlight w:val="none"/>
          </w:rPr>
          <m:t>=</m:t>
        </m:r>
        <m:nary>
          <m:naryPr>
            <m:chr m:val="∑"/>
            <m:limLoc m:val="undOvr"/>
            <m:subHide m:val="1"/>
            <m:supHide m:val="1"/>
            <m:ctrlPr>
              <w:rPr>
                <w:rFonts w:hint="eastAsia" w:ascii="Cambria Math" w:hAnsi="Cambria Math" w:eastAsia="仿宋_GB2312"/>
                <w:color w:val="auto"/>
                <w:sz w:val="32"/>
                <w:szCs w:val="48"/>
                <w:highlight w:val="none"/>
              </w:rPr>
            </m:ctrlPr>
          </m:naryPr>
          <m:sub>
            <m:ctrlPr>
              <w:rPr>
                <w:rFonts w:hint="eastAsia" w:ascii="Cambria Math" w:hAnsi="Cambria Math" w:eastAsia="仿宋_GB2312"/>
                <w:color w:val="auto"/>
                <w:sz w:val="32"/>
                <w:szCs w:val="48"/>
                <w:highlight w:val="none"/>
              </w:rPr>
            </m:ctrlPr>
          </m:sub>
          <m:sup>
            <m:ctrlPr>
              <w:rPr>
                <w:rFonts w:hint="eastAsia" w:ascii="Cambria Math" w:hAnsi="Cambria Math" w:eastAsia="仿宋_GB2312"/>
                <w:color w:val="auto"/>
                <w:sz w:val="32"/>
                <w:szCs w:val="48"/>
                <w:highlight w:val="none"/>
              </w:rPr>
            </m:ctrlPr>
          </m:sup>
          <m:e>
            <m:d>
              <m:dPr>
                <m:ctrlPr>
                  <w:rPr>
                    <w:rFonts w:hint="eastAsia" w:ascii="Cambria Math" w:hAnsi="Cambria Math" w:eastAsia="仿宋_GB2312"/>
                    <w:color w:val="auto"/>
                    <w:sz w:val="32"/>
                    <w:szCs w:val="48"/>
                    <w:highlight w:val="none"/>
                  </w:rPr>
                </m:ctrlPr>
              </m:dPr>
              <m:e>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Q</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备用能力</m:t>
                    </m:r>
                    <m:ctrlPr>
                      <w:rPr>
                        <w:rFonts w:hint="eastAsia" w:ascii="Cambria Math" w:hAnsi="Cambria Math" w:eastAsia="仿宋_GB2312"/>
                        <w:bCs/>
                        <w:color w:val="auto"/>
                        <w:sz w:val="32"/>
                        <w:szCs w:val="48"/>
                        <w:highlight w:val="none"/>
                      </w:rPr>
                    </m:ctrlPr>
                  </m:sub>
                </m:sSub>
                <m:r>
                  <m:rPr>
                    <m:sty m:val="p"/>
                  </m:rPr>
                  <w:rPr>
                    <w:rFonts w:hint="eastAsia" w:ascii="Cambria Math" w:hAnsi="Cambria Math" w:eastAsia="仿宋_GB2312"/>
                    <w:color w:val="auto"/>
                    <w:sz w:val="32"/>
                    <w:szCs w:val="48"/>
                    <w:highlight w:val="none"/>
                  </w:rPr>
                  <m:t>×</m:t>
                </m:r>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P</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补贴价格</m:t>
                    </m:r>
                    <m:ctrlPr>
                      <w:rPr>
                        <w:rFonts w:hint="eastAsia" w:ascii="Cambria Math" w:hAnsi="Cambria Math" w:eastAsia="仿宋_GB2312"/>
                        <w:bCs/>
                        <w:color w:val="auto"/>
                        <w:sz w:val="32"/>
                        <w:szCs w:val="48"/>
                        <w:highlight w:val="none"/>
                      </w:rPr>
                    </m:ctrlPr>
                  </m:sub>
                </m:sSub>
                <m:r>
                  <m:rPr>
                    <m:sty m:val="p"/>
                  </m:rPr>
                  <w:rPr>
                    <w:rFonts w:hint="eastAsia" w:ascii="Cambria Math" w:hAnsi="Cambria Math" w:eastAsia="仿宋_GB2312"/>
                    <w:color w:val="auto"/>
                    <w:sz w:val="32"/>
                    <w:szCs w:val="48"/>
                    <w:highlight w:val="none"/>
                  </w:rPr>
                  <m:t>×</m:t>
                </m:r>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T</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备用时长</m:t>
                    </m:r>
                    <m:ctrlPr>
                      <w:rPr>
                        <w:rFonts w:hint="eastAsia" w:ascii="Cambria Math" w:hAnsi="Cambria Math" w:eastAsia="仿宋_GB2312"/>
                        <w:bCs/>
                        <w:color w:val="auto"/>
                        <w:sz w:val="32"/>
                        <w:szCs w:val="48"/>
                        <w:highlight w:val="none"/>
                      </w:rPr>
                    </m:ctrlPr>
                  </m:sub>
                </m:sSub>
                <m:r>
                  <m:rPr>
                    <m:sty m:val="p"/>
                  </m:rPr>
                  <w:rPr>
                    <w:rFonts w:ascii="Cambria Math" w:hAnsi="Cambria Math"/>
                    <w:color w:val="auto"/>
                    <w:sz w:val="32"/>
                    <w:szCs w:val="48"/>
                    <w:highlight w:val="none"/>
                  </w:rPr>
                  <m:t>×</m:t>
                </m:r>
                <m:r>
                  <m:rPr>
                    <m:sty m:val="p"/>
                  </m:rPr>
                  <w:rPr>
                    <w:rFonts w:hint="default" w:ascii="Cambria Math" w:hAnsi="Cambria Math"/>
                    <w:color w:val="auto"/>
                    <w:sz w:val="32"/>
                    <w:szCs w:val="48"/>
                    <w:highlight w:val="none"/>
                    <w:lang w:val="en-US" w:eastAsia="zh-CN"/>
                  </w:rPr>
                  <m:t>k</m:t>
                </m:r>
                <m:ctrlPr>
                  <w:rPr>
                    <w:rFonts w:hint="eastAsia" w:ascii="Cambria Math" w:hAnsi="Cambria Math" w:eastAsia="仿宋_GB2312"/>
                    <w:color w:val="auto"/>
                    <w:sz w:val="32"/>
                    <w:szCs w:val="48"/>
                    <w:highlight w:val="none"/>
                  </w:rPr>
                </m:ctrlPr>
              </m:e>
            </m:d>
            <m:ctrlPr>
              <w:rPr>
                <w:rFonts w:hint="eastAsia" w:ascii="Cambria Math" w:hAnsi="Cambria Math" w:eastAsia="仿宋_GB2312"/>
                <w:color w:val="auto"/>
                <w:sz w:val="32"/>
                <w:szCs w:val="48"/>
                <w:highlight w:val="none"/>
              </w:rPr>
            </m:ctrlPr>
          </m:e>
        </m:nary>
      </m:oMath>
      <w:r>
        <w:rPr>
          <w:rFonts w:hint="eastAsia" w:hAnsi="Cambria Math" w:eastAsia="仿宋_GB2312"/>
          <w:bCs/>
          <w:color w:val="auto"/>
          <w:sz w:val="32"/>
          <w:szCs w:val="48"/>
          <w:highlight w:val="none"/>
        </w:rPr>
        <w:t xml:space="preserve"> </w:t>
      </w:r>
    </w:p>
    <w:p w14:paraId="4C7B28BA">
      <w:pPr>
        <w:pStyle w:val="11"/>
        <w:jc w:val="center"/>
        <w:outlineLvl w:val="9"/>
        <w:rPr>
          <w:color w:val="auto"/>
          <w:highlight w:val="none"/>
        </w:rPr>
      </w:pPr>
      <m:oMath>
        <m:sSub>
          <m:sSubPr>
            <m:ctrlPr>
              <w:rPr>
                <w:rFonts w:hint="eastAsia" w:ascii="Cambria Math" w:hAnsi="Cambria Math" w:eastAsia="仿宋_GB2312"/>
                <w:b w:val="0"/>
                <w:bCs w:val="0"/>
                <w:color w:val="auto"/>
                <w:szCs w:val="48"/>
                <w:highlight w:val="none"/>
              </w:rPr>
            </m:ctrlPr>
          </m:sSubPr>
          <m:e>
            <m:r>
              <m:rPr>
                <m:sty m:val="p"/>
              </m:rPr>
              <w:rPr>
                <w:rFonts w:hint="eastAsia" w:ascii="Cambria Math" w:hAnsi="Cambria Math" w:eastAsia="仿宋_GB2312"/>
                <w:color w:val="auto"/>
                <w:szCs w:val="48"/>
                <w:highlight w:val="none"/>
                <w:lang w:val="en-US" w:eastAsia="zh-CN"/>
              </w:rPr>
              <m:t>P</m:t>
            </m:r>
            <m:ctrlPr>
              <w:rPr>
                <w:rFonts w:hint="eastAsia" w:ascii="Cambria Math" w:hAnsi="Cambria Math" w:eastAsia="仿宋_GB2312"/>
                <w:b w:val="0"/>
                <w:bCs w:val="0"/>
                <w:color w:val="auto"/>
                <w:szCs w:val="48"/>
                <w:highlight w:val="none"/>
              </w:rPr>
            </m:ctrlPr>
          </m:e>
          <m:sub>
            <m:r>
              <m:rPr>
                <m:sty m:val="p"/>
              </m:rPr>
              <w:rPr>
                <w:rFonts w:hint="eastAsia" w:ascii="Cambria Math" w:hAnsi="Cambria Math" w:eastAsia="仿宋_GB2312"/>
                <w:color w:val="auto"/>
                <w:szCs w:val="48"/>
                <w:highlight w:val="none"/>
                <w:lang w:val="en-US" w:eastAsia="zh-CN"/>
              </w:rPr>
              <m:t>补贴价格</m:t>
            </m:r>
            <m:ctrlPr>
              <w:rPr>
                <w:rFonts w:hint="eastAsia" w:ascii="Cambria Math" w:hAnsi="Cambria Math" w:eastAsia="仿宋_GB2312"/>
                <w:b w:val="0"/>
                <w:bCs w:val="0"/>
                <w:color w:val="auto"/>
                <w:szCs w:val="48"/>
                <w:highlight w:val="none"/>
              </w:rPr>
            </m:ctrlPr>
          </m:sub>
        </m:sSub>
        <m:r>
          <m:rPr>
            <m:sty m:val="p"/>
          </m:rPr>
          <w:rPr>
            <w:rFonts w:hint="eastAsia" w:ascii="Cambria Math" w:hAnsi="Cambria Math" w:eastAsia="仿宋_GB2312"/>
            <w:color w:val="auto"/>
            <w:szCs w:val="48"/>
            <w:highlight w:val="none"/>
          </w:rPr>
          <m:t>=</m:t>
        </m:r>
        <m:sSub>
          <m:sSubPr>
            <m:ctrlPr>
              <w:rPr>
                <w:rFonts w:hint="eastAsia" w:ascii="Cambria Math" w:hAnsi="Cambria Math" w:eastAsia="仿宋_GB2312"/>
                <w:b w:val="0"/>
                <w:bCs w:val="0"/>
                <w:color w:val="auto"/>
                <w:szCs w:val="48"/>
                <w:highlight w:val="none"/>
              </w:rPr>
            </m:ctrlPr>
          </m:sSubPr>
          <m:e>
            <m:r>
              <m:rPr>
                <m:sty m:val="p"/>
              </m:rPr>
              <w:rPr>
                <w:rFonts w:hint="eastAsia" w:ascii="Cambria Math" w:hAnsi="Cambria Math" w:eastAsia="仿宋_GB2312"/>
                <w:color w:val="auto"/>
                <w:szCs w:val="48"/>
                <w:highlight w:val="none"/>
                <w:lang w:val="en-US" w:eastAsia="zh-CN"/>
              </w:rPr>
              <m:t>R</m:t>
            </m:r>
            <m:ctrlPr>
              <w:rPr>
                <w:rFonts w:hint="eastAsia" w:ascii="Cambria Math" w:hAnsi="Cambria Math" w:eastAsia="仿宋_GB2312"/>
                <w:b w:val="0"/>
                <w:bCs w:val="0"/>
                <w:color w:val="auto"/>
                <w:szCs w:val="48"/>
                <w:highlight w:val="none"/>
              </w:rPr>
            </m:ctrlPr>
          </m:e>
          <m:sub>
            <m:r>
              <m:rPr>
                <m:sty m:val="p"/>
              </m:rPr>
              <w:rPr>
                <w:rFonts w:hint="default" w:ascii="Cambria Math" w:hAnsi="Cambria Math" w:eastAsia="仿宋_GB2312"/>
                <w:color w:val="auto"/>
                <w:szCs w:val="48"/>
                <w:highlight w:val="none"/>
                <w:lang w:val="en-US" w:eastAsia="zh-CN"/>
              </w:rPr>
              <m:t>2</m:t>
            </m:r>
            <m:ctrlPr>
              <w:rPr>
                <w:rFonts w:hint="eastAsia" w:ascii="Cambria Math" w:hAnsi="Cambria Math" w:eastAsia="仿宋_GB2312"/>
                <w:b w:val="0"/>
                <w:bCs w:val="0"/>
                <w:color w:val="auto"/>
                <w:szCs w:val="48"/>
                <w:highlight w:val="none"/>
              </w:rPr>
            </m:ctrlPr>
          </m:sub>
        </m:sSub>
        <m:r>
          <m:rPr>
            <m:sty m:val="p"/>
          </m:rPr>
          <w:rPr>
            <w:rFonts w:ascii="Cambria Math" w:hAnsi="Cambria Math"/>
            <w:color w:val="auto"/>
            <w:szCs w:val="48"/>
            <w:highlight w:val="none"/>
          </w:rPr>
          <m:t>×</m:t>
        </m:r>
      </m:oMath>
      <w:r>
        <w:rPr>
          <w:rFonts w:hint="eastAsia" w:hAnsi="Cambria Math"/>
          <w:b w:val="0"/>
          <w:bCs/>
          <w:i w:val="0"/>
          <w:color w:val="auto"/>
          <w:szCs w:val="48"/>
          <w:highlight w:val="none"/>
          <w:lang w:val="en-US" w:eastAsia="zh-CN"/>
        </w:rPr>
        <w:t>k</w:t>
      </w:r>
    </w:p>
    <w:p w14:paraId="449C9C9A">
      <w:pPr>
        <w:spacing w:line="560" w:lineRule="exact"/>
        <w:rPr>
          <w:rFonts w:hAnsi="Cambria Math" w:eastAsia="仿宋_GB2312"/>
          <w:bCs/>
          <w:color w:val="auto"/>
          <w:sz w:val="32"/>
          <w:szCs w:val="48"/>
          <w:highlight w:val="none"/>
        </w:rPr>
      </w:pPr>
      <w:r>
        <w:rPr>
          <w:rFonts w:hint="eastAsia" w:hAnsi="Cambria Math" w:eastAsia="仿宋_GB2312"/>
          <w:bCs/>
          <w:color w:val="auto"/>
          <w:sz w:val="32"/>
          <w:szCs w:val="48"/>
          <w:highlight w:val="none"/>
        </w:rPr>
        <w:t>其中：</w:t>
      </w:r>
    </w:p>
    <w:p w14:paraId="6B776BAD">
      <w:pPr>
        <w:spacing w:line="560" w:lineRule="exact"/>
        <w:ind w:firstLine="640" w:firstLineChars="200"/>
        <w:rPr>
          <w:rFonts w:hAnsi="Cambria Math" w:eastAsia="仿宋_GB2312"/>
          <w:bCs/>
          <w:color w:val="auto"/>
          <w:sz w:val="32"/>
          <w:szCs w:val="48"/>
          <w:highlight w:val="none"/>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R</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容量补贴费用</m:t>
            </m:r>
            <m:ctrlPr>
              <w:rPr>
                <w:rFonts w:hint="eastAsia" w:ascii="Cambria Math" w:hAnsi="Cambria Math" w:eastAsia="仿宋_GB2312"/>
                <w:bCs/>
                <w:color w:val="auto"/>
                <w:sz w:val="32"/>
                <w:szCs w:val="48"/>
                <w:highlight w:val="none"/>
              </w:rPr>
            </m:ctrlPr>
          </m:sub>
        </m:sSub>
      </m:oMath>
      <w:r>
        <w:rPr>
          <w:rFonts w:hint="eastAsia" w:hAnsi="Cambria Math" w:eastAsia="仿宋_GB2312"/>
          <w:bCs/>
          <w:color w:val="auto"/>
          <w:sz w:val="32"/>
          <w:szCs w:val="48"/>
          <w:highlight w:val="none"/>
        </w:rPr>
        <w:t>为容量补贴费用；</w:t>
      </w:r>
    </w:p>
    <w:p w14:paraId="7AA9D694">
      <w:pPr>
        <w:spacing w:line="560" w:lineRule="exact"/>
        <w:ind w:firstLine="640" w:firstLineChars="200"/>
        <w:rPr>
          <w:rFonts w:hAnsi="Cambria Math" w:eastAsia="仿宋_GB2312"/>
          <w:bCs/>
          <w:color w:val="auto"/>
          <w:sz w:val="32"/>
          <w:szCs w:val="48"/>
          <w:highlight w:val="none"/>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Q</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备用能力</m:t>
            </m:r>
            <m:ctrlPr>
              <w:rPr>
                <w:rFonts w:hint="eastAsia" w:ascii="Cambria Math" w:hAnsi="Cambria Math" w:eastAsia="仿宋_GB2312"/>
                <w:bCs/>
                <w:color w:val="auto"/>
                <w:sz w:val="32"/>
                <w:szCs w:val="48"/>
                <w:highlight w:val="none"/>
              </w:rPr>
            </m:ctrlPr>
          </m:sub>
        </m:sSub>
      </m:oMath>
      <w:r>
        <w:rPr>
          <w:rFonts w:hint="eastAsia" w:hAnsi="Cambria Math" w:eastAsia="仿宋_GB2312"/>
          <w:bCs/>
          <w:color w:val="auto"/>
          <w:sz w:val="32"/>
          <w:szCs w:val="48"/>
          <w:highlight w:val="none"/>
        </w:rPr>
        <w:t>为中标的调节功率；</w:t>
      </w:r>
    </w:p>
    <w:p w14:paraId="4937855A">
      <w:pPr>
        <w:spacing w:line="560" w:lineRule="exact"/>
        <w:ind w:firstLine="640" w:firstLineChars="200"/>
        <w:rPr>
          <w:rFonts w:hAnsi="Cambria Math" w:eastAsia="仿宋_GB2312"/>
          <w:bCs/>
          <w:color w:val="auto"/>
          <w:sz w:val="32"/>
          <w:szCs w:val="48"/>
          <w:highlight w:val="none"/>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P</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补贴价格</m:t>
            </m:r>
            <m:ctrlPr>
              <w:rPr>
                <w:rFonts w:hint="eastAsia" w:ascii="Cambria Math" w:hAnsi="Cambria Math" w:eastAsia="仿宋_GB2312"/>
                <w:bCs/>
                <w:color w:val="auto"/>
                <w:sz w:val="32"/>
                <w:szCs w:val="48"/>
                <w:highlight w:val="none"/>
              </w:rPr>
            </m:ctrlPr>
          </m:sub>
        </m:sSub>
      </m:oMath>
      <w:r>
        <w:rPr>
          <w:rFonts w:hint="eastAsia" w:hAnsi="Cambria Math" w:eastAsia="仿宋_GB2312"/>
          <w:bCs/>
          <w:i w:val="0"/>
          <w:color w:val="auto"/>
          <w:sz w:val="32"/>
          <w:szCs w:val="48"/>
          <w:highlight w:val="none"/>
          <w:lang w:val="en-US" w:eastAsia="zh-CN"/>
        </w:rPr>
        <w:t>为备用容量</w:t>
      </w:r>
      <w:r>
        <w:rPr>
          <w:rFonts w:hint="eastAsia" w:hAnsi="Cambria Math" w:eastAsia="仿宋_GB2312"/>
          <w:bCs/>
          <w:color w:val="auto"/>
          <w:sz w:val="32"/>
          <w:szCs w:val="48"/>
          <w:highlight w:val="none"/>
        </w:rPr>
        <w:t>补贴价格，</w:t>
      </w:r>
      <w:r>
        <w:rPr>
          <w:rFonts w:hint="eastAsia" w:hAnsi="Cambria Math" w:eastAsia="仿宋_GB2312"/>
          <w:bCs/>
          <w:color w:val="auto"/>
          <w:sz w:val="32"/>
          <w:szCs w:val="48"/>
          <w:highlight w:val="none"/>
          <w:lang w:val="en-US" w:eastAsia="zh-CN"/>
        </w:rPr>
        <w:t>依据分时</w:t>
      </w:r>
      <w:r>
        <w:rPr>
          <w:rFonts w:hint="eastAsia" w:eastAsia="仿宋_GB2312" w:cs="仿宋_GB2312"/>
          <w:color w:val="auto"/>
          <w:sz w:val="32"/>
          <w:szCs w:val="32"/>
          <w:highlight w:val="none"/>
          <w:lang w:val="en-US" w:eastAsia="zh-CN"/>
        </w:rPr>
        <w:t>设置补贴价格阶梯</w:t>
      </w:r>
      <w:r>
        <w:rPr>
          <w:rFonts w:hint="eastAsia" w:hAnsi="Cambria Math" w:eastAsia="仿宋_GB2312"/>
          <w:bCs/>
          <w:color w:val="auto"/>
          <w:sz w:val="32"/>
          <w:szCs w:val="48"/>
          <w:highlight w:val="none"/>
        </w:rPr>
        <w:t>；</w:t>
      </w:r>
    </w:p>
    <w:p w14:paraId="4BD5A904">
      <w:pPr>
        <w:spacing w:line="560" w:lineRule="exact"/>
        <w:ind w:firstLine="640" w:firstLineChars="200"/>
        <w:rPr>
          <w:rFonts w:hint="eastAsia" w:hAnsi="Cambria Math" w:eastAsia="仿宋_GB2312"/>
          <w:bCs/>
          <w:color w:val="auto"/>
          <w:sz w:val="32"/>
          <w:szCs w:val="48"/>
          <w:highlight w:val="none"/>
          <w:lang w:eastAsia="zh-CN"/>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T</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备用时长</m:t>
            </m:r>
            <m:ctrlPr>
              <w:rPr>
                <w:rFonts w:hint="eastAsia" w:ascii="Cambria Math" w:hAnsi="Cambria Math" w:eastAsia="仿宋_GB2312"/>
                <w:bCs/>
                <w:color w:val="auto"/>
                <w:sz w:val="32"/>
                <w:szCs w:val="48"/>
                <w:highlight w:val="none"/>
              </w:rPr>
            </m:ctrlPr>
          </m:sub>
        </m:sSub>
      </m:oMath>
      <w:r>
        <w:rPr>
          <w:rFonts w:hint="eastAsia" w:hAnsi="Cambria Math" w:eastAsia="仿宋_GB2312"/>
          <w:bCs/>
          <w:color w:val="auto"/>
          <w:sz w:val="32"/>
          <w:szCs w:val="48"/>
          <w:highlight w:val="none"/>
        </w:rPr>
        <w:t>为提供备用服务的时长</w:t>
      </w:r>
      <w:r>
        <w:rPr>
          <w:rFonts w:hint="eastAsia" w:hAnsi="Cambria Math" w:eastAsia="仿宋_GB2312"/>
          <w:bCs/>
          <w:color w:val="auto"/>
          <w:sz w:val="32"/>
          <w:szCs w:val="48"/>
          <w:highlight w:val="none"/>
          <w:lang w:val="en-US" w:eastAsia="zh-CN"/>
        </w:rPr>
        <w:t>；</w:t>
      </w:r>
    </w:p>
    <w:p w14:paraId="5109A3D1">
      <w:pPr>
        <w:pStyle w:val="10"/>
        <w:outlineLvl w:val="9"/>
        <w:rPr>
          <w:rFonts w:hint="eastAsia" w:hAnsi="Cambria Math" w:eastAsia="仿宋_GB2312"/>
          <w:b w:val="0"/>
          <w:bCs w:val="0"/>
          <w:color w:val="auto"/>
          <w:sz w:val="32"/>
          <w:szCs w:val="48"/>
          <w:highlight w:val="none"/>
          <w:vertAlign w:val="baseline"/>
          <w:lang w:val="en-US" w:eastAsia="zh-CN"/>
        </w:rPr>
      </w:pPr>
      <w:r>
        <w:rPr>
          <w:rFonts w:hint="eastAsia" w:hAnsi="Cambria Math" w:cs="Cambria Math"/>
          <w:b w:val="0"/>
          <w:bCs w:val="0"/>
          <w:i w:val="0"/>
          <w:color w:val="auto"/>
          <w:sz w:val="32"/>
          <w:szCs w:val="32"/>
          <w:highlight w:val="none"/>
          <w:lang w:val="en-US" w:eastAsia="zh-CN"/>
        </w:rPr>
        <w:t>R</w:t>
      </w:r>
      <w:r>
        <w:rPr>
          <w:rFonts w:hint="eastAsia" w:hAnsi="Cambria Math" w:cs="Cambria Math"/>
          <w:b w:val="0"/>
          <w:bCs w:val="0"/>
          <w:i w:val="0"/>
          <w:color w:val="auto"/>
          <w:sz w:val="32"/>
          <w:szCs w:val="32"/>
          <w:highlight w:val="none"/>
          <w:vertAlign w:val="subscript"/>
          <w:lang w:val="en-US" w:eastAsia="zh-CN"/>
        </w:rPr>
        <w:t>2</w:t>
      </w:r>
      <w:r>
        <w:rPr>
          <w:rFonts w:hint="eastAsia" w:ascii="仿宋_GB2312" w:hAnsi="仿宋_GB2312" w:eastAsia="仿宋_GB2312" w:cs="仿宋_GB2312"/>
          <w:b w:val="0"/>
          <w:bCs w:val="0"/>
          <w:color w:val="auto"/>
          <w:sz w:val="32"/>
          <w:szCs w:val="48"/>
          <w:highlight w:val="none"/>
          <w:vertAlign w:val="baseline"/>
          <w:lang w:val="en-US" w:eastAsia="zh-CN"/>
        </w:rPr>
        <w:t>为备用服务补贴基准价,详见附录11</w:t>
      </w:r>
      <w:r>
        <w:rPr>
          <w:rFonts w:hint="eastAsia" w:hAnsi="Cambria Math" w:eastAsia="仿宋_GB2312"/>
          <w:b w:val="0"/>
          <w:bCs w:val="0"/>
          <w:color w:val="auto"/>
          <w:sz w:val="32"/>
          <w:szCs w:val="48"/>
          <w:highlight w:val="none"/>
          <w:vertAlign w:val="baseline"/>
          <w:lang w:val="en-US" w:eastAsia="zh-CN"/>
        </w:rPr>
        <w:t>；</w:t>
      </w:r>
    </w:p>
    <w:p w14:paraId="0ABC9136">
      <w:pPr>
        <w:pStyle w:val="10"/>
        <w:outlineLvl w:val="9"/>
        <w:rPr>
          <w:rFonts w:hint="eastAsia" w:ascii="仿宋_GB2312" w:hAnsi="仿宋_GB2312" w:eastAsia="仿宋_GB2312" w:cs="仿宋_GB2312"/>
          <w:color w:val="auto"/>
          <w:highlight w:val="none"/>
        </w:rPr>
      </w:pPr>
      <w:r>
        <w:rPr>
          <w:rFonts w:hint="eastAsia" w:ascii="仿宋_GB2312" w:hAnsi="仿宋_GB2312" w:eastAsia="仿宋_GB2312" w:cs="仿宋_GB2312"/>
          <w:b w:val="0"/>
          <w:bCs w:val="0"/>
          <w:color w:val="auto"/>
          <w:sz w:val="32"/>
          <w:szCs w:val="48"/>
          <w:highlight w:val="none"/>
          <w:vertAlign w:val="baseline"/>
          <w:lang w:val="en-US" w:eastAsia="zh-CN"/>
        </w:rPr>
        <w:t>k为备用服务补贴价格系数，对应分时备用补贴参数取值,详见附录11。</w:t>
      </w:r>
    </w:p>
    <w:p w14:paraId="54DB1F59">
      <w:pPr>
        <w:pStyle w:val="33"/>
        <w:numPr>
          <w:ilvl w:val="0"/>
          <w:numId w:val="5"/>
        </w:numPr>
        <w:tabs>
          <w:tab w:val="left" w:pos="6720"/>
        </w:tabs>
        <w:spacing w:line="560" w:lineRule="exact"/>
        <w:ind w:firstLine="732" w:firstLineChars="228"/>
        <w:rPr>
          <w:rFonts w:hint="default" w:ascii="Times New Roman" w:hAnsi="Times New Roman" w:eastAsia="黑体" w:cs="Times New Roman"/>
          <w:b/>
          <w:color w:val="auto"/>
          <w:sz w:val="32"/>
          <w:szCs w:val="32"/>
          <w:highlight w:val="none"/>
        </w:rPr>
      </w:pPr>
      <w:r>
        <w:rPr>
          <w:rFonts w:ascii="Times New Roman" w:hAnsi="Times New Roman" w:eastAsia="仿宋_GB2312" w:cs="Times New Roman"/>
          <w:b/>
          <w:color w:val="auto"/>
          <w:sz w:val="32"/>
          <w:szCs w:val="32"/>
          <w:highlight w:val="none"/>
        </w:rPr>
        <w:t>无功调节</w:t>
      </w:r>
    </w:p>
    <w:p w14:paraId="67DC5037">
      <w:pPr>
        <w:pStyle w:val="33"/>
        <w:tabs>
          <w:tab w:val="left" w:pos="6720"/>
        </w:tabs>
        <w:adjustRightInd w:val="0"/>
        <w:snapToGrid w:val="0"/>
        <w:spacing w:line="560" w:lineRule="exact"/>
        <w:ind w:firstLine="640"/>
        <w:rPr>
          <w:rFonts w:ascii="仿宋_GB2312" w:hAnsi="仿宋_GB2312" w:eastAsia="仿宋_GB2312" w:cs="仿宋_GB2312"/>
          <w:color w:val="auto"/>
          <w:sz w:val="32"/>
          <w:szCs w:val="32"/>
          <w:highlight w:val="none"/>
        </w:rPr>
      </w:pPr>
      <w:r>
        <w:rPr>
          <w:rFonts w:ascii="仿宋_GB2312" w:hAnsi="仿宋_GB2312" w:eastAsia="仿宋_GB2312" w:cs="仿宋_GB2312"/>
          <w:bCs/>
          <w:color w:val="auto"/>
          <w:sz w:val="32"/>
          <w:szCs w:val="32"/>
          <w:highlight w:val="none"/>
        </w:rPr>
        <w:t>无功调节收益结算。无功调节收益补偿费用=响应无功电量×无功调节补贴价格</w:t>
      </w:r>
      <w:r>
        <w:rPr>
          <w:rFonts w:ascii="仿宋_GB2312" w:hAnsi="仿宋_GB2312" w:eastAsia="仿宋_GB2312" w:cs="仿宋_GB2312"/>
          <w:color w:val="auto"/>
          <w:sz w:val="32"/>
          <w:szCs w:val="32"/>
          <w:highlight w:val="none"/>
        </w:rPr>
        <w:t>。</w:t>
      </w:r>
    </w:p>
    <w:p w14:paraId="0900D005">
      <w:pPr>
        <w:pStyle w:val="31"/>
        <w:ind w:firstLine="640"/>
        <w:rPr>
          <w:rFonts w:hint="eastAsia" w:eastAsia="仿宋_GB2312" w:cs="仿宋_GB2312"/>
          <w:color w:val="auto"/>
          <w:sz w:val="32"/>
          <w:szCs w:val="32"/>
          <w:highlight w:val="none"/>
        </w:rPr>
      </w:pPr>
      <w:r>
        <w:rPr>
          <w:rFonts w:hint="eastAsia" w:eastAsia="仿宋_GB2312" w:cs="仿宋_GB2312"/>
          <w:color w:val="auto"/>
          <w:sz w:val="32"/>
          <w:szCs w:val="32"/>
          <w:highlight w:val="none"/>
        </w:rPr>
        <w:t>响应结算计算公式为：</w:t>
      </w:r>
    </w:p>
    <w:p w14:paraId="5CAFA57D">
      <w:pPr>
        <w:adjustRightInd w:val="0"/>
        <w:snapToGrid w:val="0"/>
        <w:spacing w:line="560" w:lineRule="exact"/>
        <w:rPr>
          <w:rFonts w:hint="eastAsia" w:ascii="仿宋_GB2312" w:hAnsi="仿宋_GB2312" w:eastAsia="仿宋_GB2312" w:cs="仿宋_GB2312"/>
          <w:color w:val="auto"/>
          <w:sz w:val="32"/>
          <w:szCs w:val="32"/>
          <w:highlight w:val="none"/>
        </w:rPr>
      </w:pPr>
      <m:oMathPara>
        <m:oMathParaPr>
          <m:jc m:val="center"/>
        </m:oMathParaPr>
        <m:oMath>
          <m:sSub>
            <m:sSubPr>
              <m:ctrlPr>
                <w:rPr>
                  <w:rFonts w:hint="eastAsia" w:ascii="Cambria Math" w:hAnsi="Cambria Math" w:eastAsia="仿宋_GB2312" w:cs="仿宋_GB2312"/>
                  <w:i/>
                  <w:color w:val="auto"/>
                  <w:sz w:val="32"/>
                  <w:szCs w:val="32"/>
                  <w:highlight w:val="none"/>
                </w:rPr>
              </m:ctrlPr>
            </m:sSubPr>
            <m:e>
              <m:r>
                <m:rPr/>
                <w:rPr>
                  <w:rFonts w:hint="eastAsia" w:ascii="Cambria Math" w:hAnsi="Cambria Math" w:eastAsia="仿宋_GB2312" w:cs="仿宋_GB2312"/>
                  <w:color w:val="auto"/>
                  <w:sz w:val="32"/>
                  <w:szCs w:val="32"/>
                  <w:highlight w:val="none"/>
                </w:rPr>
                <m:t>R</m:t>
              </m:r>
              <m:ctrlPr>
                <w:rPr>
                  <w:rFonts w:hint="eastAsia" w:ascii="Cambria Math" w:hAnsi="Cambria Math" w:eastAsia="仿宋_GB2312" w:cs="仿宋_GB2312"/>
                  <w:i/>
                  <w:color w:val="auto"/>
                  <w:sz w:val="32"/>
                  <w:szCs w:val="32"/>
                  <w:highlight w:val="none"/>
                </w:rPr>
              </m:ctrlPr>
            </m:e>
            <m:sub>
              <m:r>
                <m:rPr>
                  <m:sty m:val="p"/>
                </m:rPr>
                <w:rPr>
                  <w:rFonts w:hint="eastAsia" w:ascii="Cambria Math" w:hAnsi="Cambria Math" w:eastAsia="仿宋_GB2312" w:cs="仿宋_GB2312"/>
                  <w:color w:val="auto"/>
                  <w:sz w:val="32"/>
                  <w:szCs w:val="32"/>
                  <w:highlight w:val="none"/>
                </w:rPr>
                <m:t>无功调节收入</m:t>
              </m:r>
              <m:ctrlPr>
                <w:rPr>
                  <w:rFonts w:hint="eastAsia" w:ascii="Cambria Math" w:hAnsi="Cambria Math" w:eastAsia="仿宋_GB2312" w:cs="仿宋_GB2312"/>
                  <w:i/>
                  <w:color w:val="auto"/>
                  <w:sz w:val="32"/>
                  <w:szCs w:val="32"/>
                  <w:highlight w:val="none"/>
                </w:rPr>
              </m:ctrlPr>
            </m:sub>
          </m:sSub>
          <m:r>
            <m:rPr/>
            <w:rPr>
              <w:rFonts w:hint="eastAsia" w:ascii="Cambria Math" w:hAnsi="Cambria Math" w:eastAsia="仿宋_GB2312" w:cs="仿宋_GB2312"/>
              <w:color w:val="auto"/>
              <w:sz w:val="32"/>
              <w:szCs w:val="32"/>
              <w:highlight w:val="none"/>
            </w:rPr>
            <m:t>=</m:t>
          </m:r>
          <m:nary>
            <m:naryPr>
              <m:chr m:val="∑"/>
              <m:limLoc m:val="undOvr"/>
              <m:subHide m:val="1"/>
              <m:supHide m:val="1"/>
              <m:ctrlPr>
                <w:rPr>
                  <w:rFonts w:hint="eastAsia" w:ascii="Cambria Math" w:hAnsi="Cambria Math" w:eastAsia="仿宋_GB2312" w:cs="仿宋_GB2312"/>
                  <w:i/>
                  <w:color w:val="auto"/>
                  <w:sz w:val="32"/>
                  <w:szCs w:val="32"/>
                  <w:highlight w:val="none"/>
                </w:rPr>
              </m:ctrlPr>
            </m:naryPr>
            <m:sub>
              <m:ctrlPr>
                <w:rPr>
                  <w:rFonts w:hint="eastAsia" w:ascii="Cambria Math" w:hAnsi="Cambria Math" w:eastAsia="仿宋_GB2312" w:cs="仿宋_GB2312"/>
                  <w:i/>
                  <w:color w:val="auto"/>
                  <w:sz w:val="32"/>
                  <w:szCs w:val="32"/>
                  <w:highlight w:val="none"/>
                </w:rPr>
              </m:ctrlPr>
            </m:sub>
            <m:sup>
              <m:ctrlPr>
                <w:rPr>
                  <w:rFonts w:hint="eastAsia" w:ascii="Cambria Math" w:hAnsi="Cambria Math" w:eastAsia="仿宋_GB2312" w:cs="仿宋_GB2312"/>
                  <w:i/>
                  <w:color w:val="auto"/>
                  <w:sz w:val="32"/>
                  <w:szCs w:val="32"/>
                  <w:highlight w:val="none"/>
                </w:rPr>
              </m:ctrlPr>
            </m:sup>
            <m:e>
              <m:sSub>
                <m:sSubPr>
                  <m:ctrlPr>
                    <w:rPr>
                      <w:rFonts w:hint="eastAsia" w:ascii="Cambria Math" w:hAnsi="Cambria Math" w:eastAsia="仿宋_GB2312" w:cs="仿宋_GB2312"/>
                      <w:i/>
                      <w:color w:val="auto"/>
                      <w:sz w:val="32"/>
                      <w:szCs w:val="32"/>
                      <w:highlight w:val="none"/>
                    </w:rPr>
                  </m:ctrlPr>
                </m:sSubPr>
                <m:e>
                  <m:r>
                    <m:rPr/>
                    <w:rPr>
                      <w:rFonts w:hint="default" w:ascii="Cambria Math" w:hAnsi="Cambria Math" w:eastAsia="仿宋_GB2312" w:cs="仿宋_GB2312"/>
                      <w:color w:val="auto"/>
                      <w:sz w:val="32"/>
                      <w:szCs w:val="32"/>
                      <w:highlight w:val="none"/>
                      <w:lang w:val="en-US" w:eastAsia="zh-CN"/>
                    </w:rPr>
                    <m:t>(</m:t>
                  </m:r>
                  <m:r>
                    <m:rPr/>
                    <w:rPr>
                      <w:rFonts w:hint="eastAsia" w:ascii="Cambria Math" w:hAnsi="Cambria Math" w:eastAsia="仿宋_GB2312" w:cs="仿宋_GB2312"/>
                      <w:color w:val="auto"/>
                      <w:sz w:val="32"/>
                      <w:szCs w:val="32"/>
                      <w:highlight w:val="none"/>
                    </w:rPr>
                    <m:t>Q</m:t>
                  </m:r>
                  <m:ctrlPr>
                    <w:rPr>
                      <w:rFonts w:hint="eastAsia" w:ascii="Cambria Math" w:hAnsi="Cambria Math" w:eastAsia="仿宋_GB2312" w:cs="仿宋_GB2312"/>
                      <w:i/>
                      <w:color w:val="auto"/>
                      <w:sz w:val="32"/>
                      <w:szCs w:val="32"/>
                      <w:highlight w:val="none"/>
                    </w:rPr>
                  </m:ctrlPr>
                </m:e>
                <m:sub>
                  <m:r>
                    <m:rPr/>
                    <w:rPr>
                      <w:rFonts w:hint="eastAsia" w:ascii="Cambria Math" w:hAnsi="Cambria Math" w:eastAsia="仿宋_GB2312" w:cs="仿宋_GB2312"/>
                      <w:color w:val="auto"/>
                      <w:sz w:val="32"/>
                      <w:szCs w:val="32"/>
                      <w:highlight w:val="none"/>
                    </w:rPr>
                    <m:t>t</m:t>
                  </m:r>
                  <m:r>
                    <m:rPr>
                      <m:sty m:val="p"/>
                    </m:rPr>
                    <w:rPr>
                      <w:rFonts w:hint="eastAsia" w:ascii="Cambria Math" w:hAnsi="Cambria Math" w:eastAsia="仿宋_GB2312" w:cs="仿宋_GB2312"/>
                      <w:color w:val="auto"/>
                      <w:sz w:val="32"/>
                      <w:szCs w:val="32"/>
                      <w:highlight w:val="none"/>
                    </w:rPr>
                    <m:t>调节无功</m:t>
                  </m:r>
                  <m:r>
                    <m:rPr>
                      <m:sty m:val="p"/>
                    </m:rPr>
                    <w:rPr>
                      <w:rFonts w:hint="eastAsia" w:ascii="Cambria Math" w:hAnsi="Cambria Math" w:eastAsia="仿宋_GB2312" w:cs="仿宋_GB2312"/>
                      <w:color w:val="auto"/>
                      <w:sz w:val="32"/>
                      <w:szCs w:val="32"/>
                      <w:highlight w:val="none"/>
                      <w:lang w:val="en-US" w:eastAsia="zh-CN"/>
                    </w:rPr>
                    <m:t>功率</m:t>
                  </m:r>
                  <m:ctrlPr>
                    <w:rPr>
                      <w:rFonts w:hint="eastAsia" w:ascii="Cambria Math" w:hAnsi="Cambria Math" w:eastAsia="仿宋_GB2312" w:cs="仿宋_GB2312"/>
                      <w:i/>
                      <w:color w:val="auto"/>
                      <w:sz w:val="32"/>
                      <w:szCs w:val="32"/>
                      <w:highlight w:val="none"/>
                    </w:rPr>
                  </m:ctrlPr>
                </m:sub>
              </m:sSub>
              <m:r>
                <m:rPr/>
                <w:rPr>
                  <w:rFonts w:hint="eastAsia" w:ascii="Cambria Math" w:hAnsi="Cambria Math" w:eastAsia="仿宋_GB2312" w:cs="仿宋_GB2312"/>
                  <w:color w:val="auto"/>
                  <w:sz w:val="32"/>
                  <w:szCs w:val="32"/>
                  <w:highlight w:val="none"/>
                </w:rPr>
                <m:t>×</m:t>
              </m:r>
              <m:sSub>
                <m:sSubPr>
                  <m:ctrlPr>
                    <w:rPr>
                      <w:rFonts w:hint="eastAsia" w:ascii="Cambria Math" w:hAnsi="Cambria Math" w:eastAsia="仿宋_GB2312" w:cs="仿宋_GB2312"/>
                      <w:i/>
                      <w:color w:val="auto"/>
                      <w:sz w:val="32"/>
                      <w:szCs w:val="32"/>
                      <w:highlight w:val="none"/>
                    </w:rPr>
                  </m:ctrlPr>
                </m:sSubPr>
                <m:e>
                  <m:r>
                    <m:rPr/>
                    <w:rPr>
                      <w:rFonts w:hint="eastAsia" w:ascii="Cambria Math" w:hAnsi="Cambria Math" w:eastAsia="仿宋_GB2312" w:cs="仿宋_GB2312"/>
                      <w:color w:val="auto"/>
                      <w:sz w:val="32"/>
                      <w:szCs w:val="32"/>
                      <w:highlight w:val="none"/>
                    </w:rPr>
                    <m:t>P</m:t>
                  </m:r>
                  <m:ctrlPr>
                    <w:rPr>
                      <w:rFonts w:hint="eastAsia" w:ascii="Cambria Math" w:hAnsi="Cambria Math" w:eastAsia="仿宋_GB2312" w:cs="仿宋_GB2312"/>
                      <w:i/>
                      <w:color w:val="auto"/>
                      <w:sz w:val="32"/>
                      <w:szCs w:val="32"/>
                      <w:highlight w:val="none"/>
                    </w:rPr>
                  </m:ctrlPr>
                </m:e>
                <m:sub>
                  <m:r>
                    <m:rPr>
                      <m:sty m:val="p"/>
                    </m:rPr>
                    <w:rPr>
                      <w:rFonts w:hint="eastAsia" w:ascii="Cambria Math" w:hAnsi="Cambria Math" w:eastAsia="仿宋_GB2312" w:cs="仿宋_GB2312"/>
                      <w:color w:val="auto"/>
                      <w:sz w:val="32"/>
                      <w:szCs w:val="32"/>
                      <w:highlight w:val="none"/>
                    </w:rPr>
                    <m:t>补贴价格</m:t>
                  </m:r>
                  <m:ctrlPr>
                    <w:rPr>
                      <w:rFonts w:hint="eastAsia" w:ascii="Cambria Math" w:hAnsi="Cambria Math" w:eastAsia="仿宋_GB2312" w:cs="仿宋_GB2312"/>
                      <w:i/>
                      <w:color w:val="auto"/>
                      <w:sz w:val="32"/>
                      <w:szCs w:val="32"/>
                      <w:highlight w:val="none"/>
                    </w:rPr>
                  </m:ctrlPr>
                </m:sub>
              </m:sSub>
              <m:r>
                <m:rPr/>
                <w:rPr>
                  <w:rFonts w:hint="eastAsia" w:ascii="Cambria Math" w:hAnsi="Cambria Math" w:eastAsia="仿宋_GB2312" w:cs="仿宋_GB2312"/>
                  <w:color w:val="auto"/>
                  <w:sz w:val="32"/>
                  <w:szCs w:val="32"/>
                  <w:highlight w:val="none"/>
                </w:rPr>
                <m:t>×</m:t>
              </m:r>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T</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调用</m:t>
                  </m:r>
                  <m:r>
                    <m:rPr>
                      <m:sty m:val="p"/>
                    </m:rPr>
                    <w:rPr>
                      <w:rFonts w:hint="eastAsia" w:ascii="Cambria Math" w:hAnsi="Cambria Math" w:eastAsia="仿宋_GB2312"/>
                      <w:color w:val="auto"/>
                      <w:sz w:val="32"/>
                      <w:szCs w:val="48"/>
                      <w:highlight w:val="none"/>
                    </w:rPr>
                    <m:t>时长</m:t>
                  </m:r>
                  <m:ctrlPr>
                    <w:rPr>
                      <w:rFonts w:hint="eastAsia" w:ascii="Cambria Math" w:hAnsi="Cambria Math" w:eastAsia="仿宋_GB2312"/>
                      <w:bCs/>
                      <w:color w:val="auto"/>
                      <w:sz w:val="32"/>
                      <w:szCs w:val="48"/>
                      <w:highlight w:val="none"/>
                    </w:rPr>
                  </m:ctrlPr>
                </m:sub>
              </m:sSub>
              <m:r>
                <m:rPr/>
                <w:rPr>
                  <w:rFonts w:hint="default" w:ascii="Cambria Math" w:hAnsi="Cambria Math" w:eastAsia="仿宋_GB2312" w:cs="仿宋_GB2312"/>
                  <w:color w:val="auto"/>
                  <w:sz w:val="32"/>
                  <w:szCs w:val="32"/>
                  <w:highlight w:val="none"/>
                  <w:lang w:val="en-US" w:eastAsia="zh-CN"/>
                </w:rPr>
                <m:t>)</m:t>
              </m:r>
              <m:ctrlPr>
                <w:rPr>
                  <w:rFonts w:hint="eastAsia" w:ascii="Cambria Math" w:hAnsi="Cambria Math" w:eastAsia="仿宋_GB2312" w:cs="仿宋_GB2312"/>
                  <w:i/>
                  <w:color w:val="auto"/>
                  <w:sz w:val="32"/>
                  <w:szCs w:val="32"/>
                  <w:highlight w:val="none"/>
                </w:rPr>
              </m:ctrlPr>
            </m:e>
          </m:nary>
        </m:oMath>
      </m:oMathPara>
    </w:p>
    <w:p w14:paraId="39FBF2B5">
      <w:pPr>
        <w:pStyle w:val="31"/>
        <w:ind w:firstLine="640"/>
        <w:rPr>
          <w:rFonts w:hint="eastAsia" w:eastAsia="仿宋_GB2312" w:cs="仿宋_GB2312"/>
          <w:color w:val="auto"/>
          <w:sz w:val="32"/>
          <w:szCs w:val="32"/>
          <w:highlight w:val="none"/>
        </w:rPr>
      </w:pPr>
      <m:oMathPara>
        <m:oMath>
          <m:sSub>
            <m:sSubPr>
              <m:ctrlPr>
                <w:rPr>
                  <w:rFonts w:hint="eastAsia" w:ascii="Cambria Math" w:hAnsi="Cambria Math" w:eastAsia="仿宋_GB2312"/>
                  <w:b w:val="0"/>
                  <w:bCs w:val="0"/>
                  <w:color w:val="auto"/>
                  <w:sz w:val="32"/>
                  <w:szCs w:val="72"/>
                  <w:highlight w:val="none"/>
                </w:rPr>
              </m:ctrlPr>
            </m:sSubPr>
            <m:e>
              <m:r>
                <m:rPr>
                  <m:sty m:val="p"/>
                </m:rPr>
                <w:rPr>
                  <w:rFonts w:hint="default" w:ascii="Cambria Math" w:hAnsi="Cambria Math" w:eastAsia="仿宋_GB2312"/>
                  <w:color w:val="auto"/>
                  <w:sz w:val="32"/>
                  <w:szCs w:val="72"/>
                  <w:highlight w:val="none"/>
                </w:rPr>
                <m:t>Q</m:t>
              </m:r>
              <m:ctrlPr>
                <w:rPr>
                  <w:rFonts w:hint="eastAsia" w:ascii="Cambria Math" w:hAnsi="Cambria Math" w:eastAsia="仿宋_GB2312"/>
                  <w:b w:val="0"/>
                  <w:bCs w:val="0"/>
                  <w:color w:val="auto"/>
                  <w:sz w:val="32"/>
                  <w:szCs w:val="72"/>
                  <w:highlight w:val="none"/>
                </w:rPr>
              </m:ctrlPr>
            </m:e>
            <m:sub>
              <m:r>
                <m:rPr>
                  <m:sty m:val="p"/>
                </m:rPr>
                <w:rPr>
                  <w:rFonts w:hint="default" w:ascii="Cambria Math" w:hAnsi="Cambria Math" w:eastAsia="仿宋_GB2312"/>
                  <w:color w:val="auto"/>
                  <w:sz w:val="32"/>
                  <w:szCs w:val="72"/>
                  <w:highlight w:val="none"/>
                  <w:lang w:val="en-US" w:eastAsia="zh-CN"/>
                </w:rPr>
                <m:t>t</m:t>
              </m:r>
              <m:r>
                <m:rPr>
                  <m:sty m:val="p"/>
                </m:rPr>
                <w:rPr>
                  <w:rFonts w:hint="eastAsia" w:ascii="Cambria Math" w:hAnsi="Cambria Math" w:eastAsia="仿宋_GB2312"/>
                  <w:color w:val="auto"/>
                  <w:sz w:val="32"/>
                  <w:szCs w:val="72"/>
                  <w:highlight w:val="none"/>
                  <w:lang w:val="en-US" w:eastAsia="zh-CN"/>
                </w:rPr>
                <m:t>调节无功功率</m:t>
              </m:r>
              <m:ctrlPr>
                <w:rPr>
                  <w:rFonts w:hint="eastAsia" w:ascii="Cambria Math" w:hAnsi="Cambria Math" w:eastAsia="仿宋_GB2312"/>
                  <w:b w:val="0"/>
                  <w:bCs w:val="0"/>
                  <w:color w:val="auto"/>
                  <w:sz w:val="32"/>
                  <w:szCs w:val="72"/>
                  <w:highlight w:val="none"/>
                </w:rPr>
              </m:ctrlPr>
            </m:sub>
          </m:sSub>
          <m:r>
            <m:rPr>
              <m:sty m:val="p"/>
            </m:rPr>
            <w:rPr>
              <w:rFonts w:hint="eastAsia" w:ascii="Cambria Math" w:hAnsi="Cambria Math" w:eastAsia="仿宋_GB2312"/>
              <w:color w:val="auto"/>
              <w:sz w:val="32"/>
              <w:szCs w:val="72"/>
              <w:highlight w:val="none"/>
            </w:rPr>
            <m:t>=</m:t>
          </m:r>
          <m:sSub>
            <m:sSubPr>
              <m:ctrlPr>
                <w:rPr>
                  <w:rFonts w:hint="eastAsia" w:ascii="Cambria Math" w:hAnsi="Cambria Math" w:eastAsia="仿宋_GB2312"/>
                  <w:b w:val="0"/>
                  <w:bCs w:val="0"/>
                  <w:color w:val="auto"/>
                  <w:sz w:val="32"/>
                  <w:szCs w:val="72"/>
                  <w:highlight w:val="none"/>
                </w:rPr>
              </m:ctrlPr>
            </m:sSubPr>
            <m:e>
              <m:r>
                <m:rPr>
                  <m:sty m:val="p"/>
                </m:rPr>
                <w:rPr>
                  <w:rFonts w:hint="default" w:ascii="Cambria Math" w:hAnsi="Cambria Math" w:eastAsia="仿宋_GB2312"/>
                  <w:color w:val="auto"/>
                  <w:sz w:val="32"/>
                  <w:szCs w:val="72"/>
                  <w:highlight w:val="none"/>
                </w:rPr>
                <m:t>L</m:t>
              </m:r>
              <m:ctrlPr>
                <w:rPr>
                  <w:rFonts w:hint="eastAsia" w:ascii="Cambria Math" w:hAnsi="Cambria Math" w:eastAsia="仿宋_GB2312"/>
                  <w:b w:val="0"/>
                  <w:bCs w:val="0"/>
                  <w:color w:val="auto"/>
                  <w:sz w:val="32"/>
                  <w:szCs w:val="72"/>
                  <w:highlight w:val="none"/>
                </w:rPr>
              </m:ctrlPr>
            </m:e>
            <m:sub>
              <m:r>
                <m:rPr>
                  <m:sty m:val="p"/>
                </m:rPr>
                <w:rPr>
                  <w:rFonts w:hint="eastAsia" w:ascii="Cambria Math" w:hAnsi="Cambria Math" w:eastAsia="仿宋_GB2312"/>
                  <w:color w:val="auto"/>
                  <w:sz w:val="32"/>
                  <w:szCs w:val="72"/>
                  <w:highlight w:val="none"/>
                  <w:lang w:val="en-US" w:eastAsia="zh-CN"/>
                </w:rPr>
                <m:t>无功基线</m:t>
              </m:r>
              <m:ctrlPr>
                <w:rPr>
                  <w:rFonts w:hint="eastAsia" w:ascii="Cambria Math" w:hAnsi="Cambria Math" w:eastAsia="仿宋_GB2312"/>
                  <w:b w:val="0"/>
                  <w:bCs w:val="0"/>
                  <w:color w:val="auto"/>
                  <w:sz w:val="32"/>
                  <w:szCs w:val="72"/>
                  <w:highlight w:val="none"/>
                </w:rPr>
              </m:ctrlPr>
            </m:sub>
          </m:sSub>
          <m:r>
            <m:rPr>
              <m:sty m:val="p"/>
            </m:rPr>
            <w:rPr>
              <w:rFonts w:ascii="Cambria Math" w:hAnsi="Cambria Math" w:eastAsia="仿宋_GB2312"/>
              <w:color w:val="auto"/>
              <w:sz w:val="32"/>
              <w:szCs w:val="72"/>
              <w:highlight w:val="none"/>
            </w:rPr>
            <m:t>−</m:t>
          </m:r>
          <m:sSub>
            <m:sSubPr>
              <m:ctrlPr>
                <w:rPr>
                  <w:rFonts w:hint="eastAsia" w:ascii="Cambria Math" w:hAnsi="Cambria Math" w:eastAsia="仿宋_GB2312"/>
                  <w:b w:val="0"/>
                  <w:bCs w:val="0"/>
                  <w:color w:val="auto"/>
                  <w:sz w:val="32"/>
                  <w:szCs w:val="72"/>
                  <w:highlight w:val="none"/>
                </w:rPr>
              </m:ctrlPr>
            </m:sSubPr>
            <m:e>
              <m:r>
                <m:rPr>
                  <m:sty m:val="p"/>
                </m:rPr>
                <w:rPr>
                  <w:rFonts w:hint="default" w:ascii="Cambria Math" w:hAnsi="Cambria Math" w:eastAsia="仿宋_GB2312"/>
                  <w:color w:val="auto"/>
                  <w:sz w:val="32"/>
                  <w:szCs w:val="72"/>
                  <w:highlight w:val="none"/>
                </w:rPr>
                <m:t>L</m:t>
              </m:r>
              <m:ctrlPr>
                <w:rPr>
                  <w:rFonts w:hint="eastAsia" w:ascii="Cambria Math" w:hAnsi="Cambria Math" w:eastAsia="仿宋_GB2312"/>
                  <w:b w:val="0"/>
                  <w:bCs w:val="0"/>
                  <w:color w:val="auto"/>
                  <w:sz w:val="32"/>
                  <w:szCs w:val="72"/>
                  <w:highlight w:val="none"/>
                </w:rPr>
              </m:ctrlPr>
            </m:e>
            <m:sub>
              <m:r>
                <m:rPr>
                  <m:sty m:val="p"/>
                </m:rPr>
                <w:rPr>
                  <w:rFonts w:hint="default" w:ascii="Cambria Math" w:hAnsi="Cambria Math" w:eastAsia="仿宋_GB2312"/>
                  <w:color w:val="auto"/>
                  <w:sz w:val="32"/>
                  <w:szCs w:val="72"/>
                  <w:highlight w:val="none"/>
                  <w:lang w:val="en-US" w:eastAsia="zh-CN"/>
                </w:rPr>
                <m:t>t</m:t>
              </m:r>
              <m:r>
                <m:rPr>
                  <m:sty m:val="p"/>
                </m:rPr>
                <w:rPr>
                  <w:rFonts w:hint="eastAsia" w:ascii="Cambria Math" w:hAnsi="Cambria Math" w:eastAsia="仿宋_GB2312"/>
                  <w:color w:val="auto"/>
                  <w:sz w:val="32"/>
                  <w:szCs w:val="72"/>
                  <w:highlight w:val="none"/>
                </w:rPr>
                <m:t>实际</m:t>
              </m:r>
              <m:r>
                <m:rPr>
                  <m:sty m:val="p"/>
                </m:rPr>
                <w:rPr>
                  <w:rFonts w:hint="eastAsia" w:ascii="Cambria Math" w:hAnsi="Cambria Math" w:eastAsia="仿宋_GB2312"/>
                  <w:color w:val="auto"/>
                  <w:sz w:val="32"/>
                  <w:szCs w:val="72"/>
                  <w:highlight w:val="none"/>
                  <w:lang w:val="en-US" w:eastAsia="zh-CN"/>
                </w:rPr>
                <m:t>无功功率</m:t>
              </m:r>
              <m:ctrlPr>
                <w:rPr>
                  <w:rFonts w:hint="eastAsia" w:ascii="Cambria Math" w:hAnsi="Cambria Math" w:eastAsia="仿宋_GB2312"/>
                  <w:b w:val="0"/>
                  <w:bCs w:val="0"/>
                  <w:color w:val="auto"/>
                  <w:sz w:val="32"/>
                  <w:szCs w:val="72"/>
                  <w:highlight w:val="none"/>
                </w:rPr>
              </m:ctrlPr>
            </m:sub>
          </m:sSub>
        </m:oMath>
      </m:oMathPara>
    </w:p>
    <w:p w14:paraId="310002D0">
      <w:pPr>
        <w:pStyle w:val="31"/>
        <w:ind w:firstLine="640"/>
        <w:rPr>
          <w:rFonts w:hint="eastAsia" w:eastAsia="仿宋_GB2312" w:cs="仿宋_GB2312"/>
          <w:color w:val="auto"/>
          <w:sz w:val="32"/>
          <w:szCs w:val="32"/>
          <w:highlight w:val="none"/>
        </w:rPr>
      </w:pPr>
      <w:r>
        <w:rPr>
          <w:rFonts w:hint="eastAsia" w:eastAsia="仿宋_GB2312" w:cs="仿宋_GB2312"/>
          <w:color w:val="auto"/>
          <w:sz w:val="32"/>
          <w:szCs w:val="32"/>
          <w:highlight w:val="none"/>
        </w:rPr>
        <w:t>其中：</w:t>
      </w:r>
    </w:p>
    <w:p w14:paraId="7202A918">
      <w:pPr>
        <w:pStyle w:val="31"/>
        <w:ind w:firstLine="640"/>
        <w:rPr>
          <w:rFonts w:hint="eastAsia" w:eastAsia="仿宋_GB2312" w:cs="仿宋_GB2312"/>
          <w:color w:val="auto"/>
          <w:sz w:val="32"/>
          <w:szCs w:val="32"/>
          <w:highlight w:val="none"/>
        </w:rPr>
      </w:pPr>
      <w:r>
        <w:rPr>
          <w:rFonts w:hint="eastAsia" w:eastAsia="仿宋_GB2312" w:cs="仿宋_GB2312"/>
          <w:color w:val="auto"/>
          <w:sz w:val="32"/>
          <w:szCs w:val="32"/>
          <w:highlight w:val="none"/>
        </w:rPr>
        <w:t>R</w:t>
      </w:r>
      <w:r>
        <w:rPr>
          <w:rFonts w:hint="eastAsia" w:eastAsia="仿宋_GB2312" w:cs="仿宋_GB2312"/>
          <w:color w:val="auto"/>
          <w:sz w:val="32"/>
          <w:szCs w:val="32"/>
          <w:highlight w:val="none"/>
          <w:vertAlign w:val="subscript"/>
        </w:rPr>
        <w:t>无功调节收入</w:t>
      </w:r>
      <w:r>
        <w:rPr>
          <w:rFonts w:hint="eastAsia" w:eastAsia="仿宋_GB2312" w:cs="仿宋_GB2312"/>
          <w:color w:val="auto"/>
          <w:sz w:val="32"/>
          <w:szCs w:val="32"/>
          <w:highlight w:val="none"/>
        </w:rPr>
        <w:t>为参加无功调节收入结算费用；</w:t>
      </w:r>
    </w:p>
    <w:p w14:paraId="6A538A81">
      <w:pPr>
        <w:pStyle w:val="31"/>
        <w:ind w:firstLine="640"/>
        <w:rPr>
          <w:rFonts w:hint="eastAsia" w:eastAsia="仿宋_GB2312" w:cs="仿宋_GB2312"/>
          <w:color w:val="auto"/>
          <w:sz w:val="32"/>
          <w:szCs w:val="32"/>
          <w:highlight w:val="none"/>
        </w:rPr>
      </w:pPr>
      <w:r>
        <w:rPr>
          <w:rFonts w:hint="eastAsia" w:eastAsia="仿宋_GB2312" w:cs="仿宋_GB2312"/>
          <w:color w:val="auto"/>
          <w:sz w:val="32"/>
          <w:szCs w:val="32"/>
          <w:highlight w:val="none"/>
        </w:rPr>
        <w:t>Q</w:t>
      </w:r>
      <w:r>
        <w:rPr>
          <w:rFonts w:hint="eastAsia" w:eastAsia="仿宋_GB2312" w:cs="仿宋_GB2312"/>
          <w:color w:val="auto"/>
          <w:sz w:val="32"/>
          <w:szCs w:val="32"/>
          <w:highlight w:val="none"/>
          <w:vertAlign w:val="subscript"/>
        </w:rPr>
        <w:t>t调节无功电量</w:t>
      </w:r>
      <w:r>
        <w:rPr>
          <w:rFonts w:hint="eastAsia" w:eastAsia="仿宋_GB2312" w:cs="仿宋_GB2312"/>
          <w:color w:val="auto"/>
          <w:sz w:val="32"/>
          <w:szCs w:val="32"/>
          <w:highlight w:val="none"/>
        </w:rPr>
        <w:t>为</w:t>
      </w:r>
      <w:r>
        <w:rPr>
          <w:rFonts w:hint="eastAsia" w:eastAsia="仿宋_GB2312" w:cs="仿宋_GB2312"/>
          <w:color w:val="auto"/>
          <w:kern w:val="0"/>
          <w:sz w:val="32"/>
          <w:szCs w:val="32"/>
          <w:highlight w:val="none"/>
          <w:lang w:bidi="ar"/>
        </w:rPr>
        <w:t>响应资源</w:t>
      </w:r>
      <w:r>
        <w:rPr>
          <w:rFonts w:hint="eastAsia" w:eastAsia="仿宋_GB2312" w:cs="仿宋_GB2312"/>
          <w:color w:val="auto"/>
          <w:sz w:val="32"/>
          <w:szCs w:val="32"/>
          <w:highlight w:val="none"/>
        </w:rPr>
        <w:t>参与无功调节</w:t>
      </w:r>
      <w:r>
        <w:rPr>
          <w:rFonts w:hint="eastAsia" w:eastAsia="仿宋_GB2312" w:cs="仿宋_GB2312"/>
          <w:color w:val="auto"/>
          <w:sz w:val="32"/>
          <w:szCs w:val="32"/>
          <w:highlight w:val="none"/>
        </w:rPr>
        <w:object>
          <v:shape id="_x0000_i1026" o:spt="75" type="#_x0000_t75" style="height:10.2pt;width:4.3pt;" o:ole="t" filled="f" o:preferrelative="t" stroked="f" coordsize="21600,21600">
            <v:path/>
            <v:fill on="f" focussize="0,0"/>
            <v:stroke on="f" joinstyle="miter"/>
            <v:imagedata r:id="rId19" o:title=""/>
            <o:lock v:ext="edit" aspectratio="t"/>
            <w10:wrap type="none"/>
            <w10:anchorlock/>
          </v:shape>
          <o:OLEObject Type="Embed" ProgID="Equation.DSMT4" ShapeID="_x0000_i1026" DrawAspect="Content" ObjectID="_1468075726" r:id="rId20">
            <o:LockedField>false</o:LockedField>
          </o:OLEObject>
        </w:object>
      </w:r>
      <w:r>
        <w:rPr>
          <w:rFonts w:hint="eastAsia" w:eastAsia="仿宋_GB2312" w:cs="仿宋_GB2312"/>
          <w:color w:val="auto"/>
          <w:sz w:val="32"/>
          <w:szCs w:val="32"/>
          <w:highlight w:val="none"/>
        </w:rPr>
        <w:t>时段调节无功电量；</w:t>
      </w:r>
    </w:p>
    <w:p w14:paraId="6F2DB9B9">
      <w:pPr>
        <w:spacing w:line="560" w:lineRule="exact"/>
        <w:ind w:firstLine="640" w:firstLineChars="200"/>
        <w:rPr>
          <w:rFonts w:hint="eastAsia" w:eastAsia="仿宋_GB2312" w:cs="仿宋_GB2312"/>
          <w:color w:val="auto"/>
          <w:sz w:val="32"/>
          <w:szCs w:val="32"/>
          <w:highlight w:val="none"/>
        </w:rPr>
      </w:pPr>
      <m:oMath>
        <m:sSub>
          <m:sSubPr>
            <m:ctrlPr>
              <w:rPr>
                <w:rFonts w:hint="eastAsia" w:ascii="Cambria Math" w:hAnsi="Cambria Math" w:eastAsia="仿宋_GB2312"/>
                <w:bCs/>
                <w:color w:val="auto"/>
                <w:sz w:val="32"/>
                <w:szCs w:val="48"/>
                <w:highlight w:val="none"/>
              </w:rPr>
            </m:ctrlPr>
          </m:sSubPr>
          <m:e>
            <m:r>
              <m:rPr>
                <m:sty m:val="p"/>
              </m:rPr>
              <w:rPr>
                <w:rFonts w:hint="eastAsia" w:ascii="Cambria Math" w:hAnsi="Cambria Math" w:eastAsia="仿宋_GB2312"/>
                <w:color w:val="auto"/>
                <w:sz w:val="32"/>
                <w:szCs w:val="48"/>
                <w:highlight w:val="none"/>
              </w:rPr>
              <m:t>T</m:t>
            </m:r>
            <m:ctrlPr>
              <w:rPr>
                <w:rFonts w:hint="eastAsia" w:ascii="Cambria Math" w:hAnsi="Cambria Math" w:eastAsia="仿宋_GB2312"/>
                <w:bCs/>
                <w:color w:val="auto"/>
                <w:sz w:val="32"/>
                <w:szCs w:val="48"/>
                <w:highlight w:val="none"/>
              </w:rPr>
            </m:ctrlPr>
          </m:e>
          <m:sub>
            <m:r>
              <m:rPr>
                <m:sty m:val="p"/>
              </m:rPr>
              <w:rPr>
                <w:rFonts w:hint="eastAsia" w:ascii="Cambria Math" w:hAnsi="Cambria Math" w:eastAsia="仿宋_GB2312"/>
                <w:color w:val="auto"/>
                <w:sz w:val="32"/>
                <w:szCs w:val="48"/>
                <w:highlight w:val="none"/>
              </w:rPr>
              <m:t>调用时长</m:t>
            </m:r>
            <m:ctrlPr>
              <w:rPr>
                <w:rFonts w:hint="eastAsia" w:ascii="Cambria Math" w:hAnsi="Cambria Math" w:eastAsia="仿宋_GB2312"/>
                <w:bCs/>
                <w:color w:val="auto"/>
                <w:sz w:val="32"/>
                <w:szCs w:val="48"/>
                <w:highlight w:val="none"/>
              </w:rPr>
            </m:ctrlPr>
          </m:sub>
        </m:sSub>
      </m:oMath>
      <w:r>
        <w:rPr>
          <w:rFonts w:hint="eastAsia" w:hAnsi="Cambria Math" w:eastAsia="仿宋_GB2312"/>
          <w:bCs/>
          <w:color w:val="auto"/>
          <w:sz w:val="32"/>
          <w:szCs w:val="48"/>
          <w:highlight w:val="none"/>
        </w:rPr>
        <w:t>为被调用的时长</w:t>
      </w:r>
      <w:r>
        <w:rPr>
          <w:rFonts w:hint="eastAsia" w:hAnsi="Cambria Math" w:eastAsia="仿宋_GB2312"/>
          <w:bCs/>
          <w:color w:val="auto"/>
          <w:sz w:val="32"/>
          <w:szCs w:val="48"/>
          <w:highlight w:val="none"/>
          <w:lang w:eastAsia="zh-CN"/>
        </w:rPr>
        <w:t>；</w:t>
      </w:r>
    </w:p>
    <w:p w14:paraId="51DA8621">
      <w:pPr>
        <w:pStyle w:val="10"/>
        <w:outlineLvl w:val="9"/>
        <w:rPr>
          <w:rFonts w:hint="eastAsia" w:ascii="Times New Roman" w:hAnsi="Times New Roman" w:eastAsia="仿宋_GB2312" w:cs="Times New Roman"/>
          <w:b w:val="0"/>
          <w:bCs w:val="0"/>
          <w:color w:val="auto"/>
          <w:sz w:val="32"/>
          <w:szCs w:val="32"/>
          <w:highlight w:val="none"/>
          <w:lang w:val="en-US" w:eastAsia="zh-CN"/>
        </w:rPr>
      </w:pPr>
      <m:oMath>
        <m:sSub>
          <m:sSubPr>
            <m:ctrlPr>
              <w:rPr>
                <w:rFonts w:hint="eastAsia" w:ascii="Cambria Math" w:hAnsi="Cambria Math" w:eastAsia="仿宋_GB2312"/>
                <w:bCs/>
                <w:color w:val="auto"/>
                <w:sz w:val="28"/>
                <w:szCs w:val="48"/>
                <w:highlight w:val="none"/>
              </w:rPr>
            </m:ctrlPr>
          </m:sSubPr>
          <m:e>
            <m:r>
              <m:rPr>
                <m:sty m:val="p"/>
              </m:rPr>
              <w:rPr>
                <w:rFonts w:hint="default" w:ascii="Cambria Math" w:hAnsi="Cambria Math" w:eastAsia="仿宋_GB2312"/>
                <w:color w:val="auto"/>
                <w:sz w:val="28"/>
                <w:szCs w:val="48"/>
                <w:highlight w:val="none"/>
                <w:lang w:val="en-US" w:eastAsia="zh-CN"/>
              </w:rPr>
              <m:t>L</m:t>
            </m:r>
            <m:ctrlPr>
              <w:rPr>
                <w:rFonts w:hint="eastAsia" w:ascii="Cambria Math" w:hAnsi="Cambria Math" w:eastAsia="仿宋_GB2312"/>
                <w:bCs/>
                <w:color w:val="auto"/>
                <w:sz w:val="28"/>
                <w:szCs w:val="48"/>
                <w:highlight w:val="none"/>
              </w:rPr>
            </m:ctrlPr>
          </m:e>
          <m:sub>
            <m:r>
              <m:rPr>
                <m:sty m:val="p"/>
              </m:rPr>
              <w:rPr>
                <w:rFonts w:hint="eastAsia" w:ascii="Cambria Math" w:hAnsi="Cambria Math" w:eastAsia="仿宋_GB2312"/>
                <w:color w:val="auto"/>
                <w:sz w:val="28"/>
                <w:szCs w:val="28"/>
                <w:highlight w:val="none"/>
                <w:lang w:val="en-US" w:eastAsia="zh-CN"/>
              </w:rPr>
              <m:t>无功基线</m:t>
            </m:r>
            <m:ctrlPr>
              <w:rPr>
                <w:rFonts w:hint="eastAsia" w:ascii="Cambria Math" w:hAnsi="Cambria Math" w:eastAsia="仿宋_GB2312"/>
                <w:bCs/>
                <w:color w:val="auto"/>
                <w:sz w:val="28"/>
                <w:szCs w:val="48"/>
                <w:highlight w:val="none"/>
              </w:rPr>
            </m:ctrlPr>
          </m:sub>
        </m:sSub>
      </m:oMath>
      <w:r>
        <w:rPr>
          <w:rFonts w:hint="default" w:ascii="Times New Roman" w:hAnsi="Times New Roman" w:eastAsia="仿宋_GB2312" w:cs="Times New Roman"/>
          <w:b w:val="0"/>
          <w:bCs w:val="0"/>
          <w:color w:val="auto"/>
          <w:sz w:val="32"/>
          <w:szCs w:val="32"/>
          <w:highlight w:val="none"/>
        </w:rPr>
        <w:t>为</w:t>
      </w:r>
      <w:r>
        <w:rPr>
          <w:rFonts w:hint="eastAsia" w:ascii="Times New Roman" w:hAnsi="Times New Roman" w:eastAsia="仿宋_GB2312" w:cs="Times New Roman"/>
          <w:b w:val="0"/>
          <w:bCs w:val="0"/>
          <w:color w:val="auto"/>
          <w:sz w:val="32"/>
          <w:szCs w:val="32"/>
          <w:highlight w:val="none"/>
          <w:lang w:eastAsia="zh-CN"/>
        </w:rPr>
        <w:t>用户</w:t>
      </w:r>
      <w:r>
        <w:rPr>
          <w:rFonts w:hint="eastAsia" w:ascii="Times New Roman" w:hAnsi="Times New Roman" w:eastAsia="仿宋_GB2312" w:cs="Times New Roman"/>
          <w:b w:val="0"/>
          <w:bCs w:val="0"/>
          <w:color w:val="auto"/>
          <w:sz w:val="32"/>
          <w:szCs w:val="32"/>
          <w:highlight w:val="none"/>
          <w:lang w:val="en-US" w:eastAsia="zh-CN"/>
        </w:rPr>
        <w:t>无功</w:t>
      </w:r>
      <w:r>
        <w:rPr>
          <w:rFonts w:ascii="Times New Roman" w:hAnsi="Times New Roman" w:eastAsia="仿宋_GB2312" w:cs="Times New Roman"/>
          <w:b w:val="0"/>
          <w:bCs w:val="0"/>
          <w:color w:val="auto"/>
          <w:sz w:val="32"/>
          <w:szCs w:val="32"/>
          <w:highlight w:val="none"/>
        </w:rPr>
        <w:t>功率</w:t>
      </w:r>
      <w:r>
        <w:rPr>
          <w:rFonts w:hint="eastAsia" w:ascii="Times New Roman" w:hAnsi="Times New Roman" w:eastAsia="仿宋_GB2312" w:cs="Times New Roman"/>
          <w:b w:val="0"/>
          <w:bCs w:val="0"/>
          <w:color w:val="auto"/>
          <w:sz w:val="32"/>
          <w:szCs w:val="32"/>
          <w:highlight w:val="none"/>
          <w:lang w:eastAsia="zh-CN"/>
        </w:rPr>
        <w:t>，</w:t>
      </w:r>
      <w:r>
        <w:rPr>
          <w:rFonts w:ascii="Times New Roman" w:hAnsi="Times New Roman" w:eastAsia="仿宋_GB2312" w:cs="Times New Roman"/>
          <w:b w:val="0"/>
          <w:bCs w:val="0"/>
          <w:color w:val="auto"/>
          <w:sz w:val="32"/>
          <w:szCs w:val="32"/>
          <w:highlight w:val="none"/>
        </w:rPr>
        <w:t>虚拟电厂运营商的基准功率为聚合的</w:t>
      </w:r>
      <w:r>
        <w:rPr>
          <w:rFonts w:hint="eastAsia" w:ascii="Times New Roman" w:hAnsi="Times New Roman" w:eastAsia="仿宋_GB2312" w:cs="Times New Roman"/>
          <w:b w:val="0"/>
          <w:bCs w:val="0"/>
          <w:color w:val="auto"/>
          <w:sz w:val="32"/>
          <w:szCs w:val="32"/>
          <w:highlight w:val="none"/>
          <w:lang w:eastAsia="zh-CN"/>
        </w:rPr>
        <w:t>用户</w:t>
      </w:r>
      <w:r>
        <w:rPr>
          <w:rFonts w:ascii="Times New Roman" w:hAnsi="Times New Roman" w:eastAsia="仿宋_GB2312" w:cs="Times New Roman"/>
          <w:b w:val="0"/>
          <w:bCs w:val="0"/>
          <w:color w:val="auto"/>
          <w:sz w:val="32"/>
          <w:szCs w:val="32"/>
          <w:highlight w:val="none"/>
        </w:rPr>
        <w:t>基准功率之和</w:t>
      </w:r>
      <w:r>
        <w:rPr>
          <w:rFonts w:hint="eastAsia" w:ascii="Times New Roman" w:hAnsi="Times New Roman" w:eastAsia="仿宋_GB2312" w:cs="Times New Roman"/>
          <w:b w:val="0"/>
          <w:bCs w:val="0"/>
          <w:color w:val="auto"/>
          <w:sz w:val="32"/>
          <w:szCs w:val="32"/>
          <w:highlight w:val="none"/>
          <w:lang w:eastAsia="zh-CN"/>
        </w:rPr>
        <w:t>；</w:t>
      </w:r>
    </w:p>
    <w:p w14:paraId="12907DBC">
      <w:pPr>
        <w:pStyle w:val="10"/>
        <w:outlineLvl w:val="9"/>
        <w:rPr>
          <w:rFonts w:hint="eastAsia" w:hAnsi="Cambria Math" w:eastAsia="仿宋_GB2312"/>
          <w:b w:val="0"/>
          <w:bCs w:val="0"/>
          <w:color w:val="auto"/>
          <w:sz w:val="32"/>
          <w:szCs w:val="48"/>
          <w:highlight w:val="none"/>
        </w:rPr>
      </w:pPr>
      <m:oMath>
        <m:sSub>
          <m:sSubPr>
            <m:ctrlPr>
              <w:rPr>
                <w:rFonts w:hint="eastAsia" w:ascii="Cambria Math" w:hAnsi="Cambria Math" w:eastAsia="仿宋_GB2312"/>
                <w:b w:val="0"/>
                <w:bCs w:val="0"/>
                <w:color w:val="auto"/>
                <w:sz w:val="32"/>
                <w:szCs w:val="48"/>
                <w:highlight w:val="none"/>
              </w:rPr>
            </m:ctrlPr>
          </m:sSubPr>
          <m:e>
            <m:r>
              <m:rPr>
                <m:sty m:val="p"/>
              </m:rPr>
              <w:rPr>
                <w:rFonts w:hint="default" w:ascii="Cambria Math" w:hAnsi="Cambria Math" w:eastAsia="仿宋_GB2312"/>
                <w:color w:val="auto"/>
                <w:sz w:val="32"/>
                <w:szCs w:val="48"/>
                <w:highlight w:val="none"/>
                <w:lang w:val="en-US" w:eastAsia="zh-CN"/>
              </w:rPr>
              <m:t>L</m:t>
            </m:r>
            <m:ctrlPr>
              <w:rPr>
                <w:rFonts w:hint="eastAsia" w:ascii="Cambria Math" w:hAnsi="Cambria Math" w:eastAsia="仿宋_GB2312"/>
                <w:b w:val="0"/>
                <w:bCs w:val="0"/>
                <w:color w:val="auto"/>
                <w:sz w:val="32"/>
                <w:szCs w:val="48"/>
                <w:highlight w:val="none"/>
              </w:rPr>
            </m:ctrlPr>
          </m:e>
          <m:sub>
            <m:r>
              <m:rPr>
                <m:sty m:val="p"/>
              </m:rPr>
              <w:rPr>
                <w:rFonts w:hint="eastAsia" w:ascii="Cambria Math" w:hAnsi="Cambria Math" w:eastAsia="仿宋_GB2312"/>
                <w:color w:val="auto"/>
                <w:sz w:val="32"/>
                <w:szCs w:val="48"/>
                <w:highlight w:val="none"/>
                <w:lang w:val="en-US" w:eastAsia="zh-CN"/>
              </w:rPr>
              <m:t>t实际无功功率</m:t>
            </m:r>
            <m:ctrlPr>
              <w:rPr>
                <w:rFonts w:hint="eastAsia" w:ascii="Cambria Math" w:hAnsi="Cambria Math" w:eastAsia="仿宋_GB2312"/>
                <w:b w:val="0"/>
                <w:bCs w:val="0"/>
                <w:color w:val="auto"/>
                <w:sz w:val="32"/>
                <w:szCs w:val="48"/>
                <w:highlight w:val="none"/>
              </w:rPr>
            </m:ctrlPr>
          </m:sub>
        </m:sSub>
      </m:oMath>
      <w:r>
        <w:rPr>
          <w:rFonts w:hint="eastAsia" w:hAnsi="Cambria Math" w:eastAsia="仿宋_GB2312"/>
          <w:b w:val="0"/>
          <w:bCs w:val="0"/>
          <w:i w:val="0"/>
          <w:color w:val="auto"/>
          <w:sz w:val="32"/>
          <w:szCs w:val="48"/>
          <w:highlight w:val="none"/>
          <w:lang w:val="en-US" w:eastAsia="zh-CN"/>
        </w:rPr>
        <w:t>为响应主体的实际无功功率。</w:t>
      </w:r>
    </w:p>
    <w:p w14:paraId="7790A12D">
      <w:pPr>
        <w:pStyle w:val="31"/>
        <w:ind w:firstLine="640" w:firstLineChars="0"/>
        <w:jc w:val="left"/>
        <w:rPr>
          <w:rFonts w:hint="eastAsia" w:ascii="仿宋_GB2312" w:hAnsi="仿宋_GB2312" w:eastAsia="仿宋_GB2312" w:cs="仿宋_GB2312"/>
          <w:b w:val="0"/>
          <w:bCs w:val="0"/>
          <w:color w:val="auto"/>
          <w:sz w:val="32"/>
          <w:szCs w:val="48"/>
          <w:highlight w:val="none"/>
          <w:vertAlign w:val="baseline"/>
          <w:lang w:val="en-US" w:eastAsia="zh-CN"/>
        </w:rPr>
      </w:pPr>
      <w:r>
        <w:rPr>
          <w:rFonts w:hint="eastAsia" w:eastAsia="仿宋_GB2312" w:cs="仿宋_GB2312"/>
          <w:color w:val="auto"/>
          <w:sz w:val="32"/>
          <w:szCs w:val="32"/>
          <w:highlight w:val="none"/>
        </w:rPr>
        <w:t>P</w:t>
      </w:r>
      <w:r>
        <w:rPr>
          <w:rFonts w:hint="eastAsia" w:eastAsia="仿宋_GB2312" w:cs="仿宋_GB2312"/>
          <w:color w:val="auto"/>
          <w:sz w:val="32"/>
          <w:szCs w:val="32"/>
          <w:highlight w:val="none"/>
          <w:vertAlign w:val="subscript"/>
        </w:rPr>
        <w:t>补贴价格</w:t>
      </w:r>
      <w:r>
        <w:rPr>
          <w:rFonts w:hint="eastAsia" w:eastAsia="仿宋_GB2312" w:cs="仿宋_GB2312"/>
          <w:color w:val="auto"/>
          <w:sz w:val="32"/>
          <w:szCs w:val="32"/>
          <w:highlight w:val="none"/>
        </w:rPr>
        <w:t>为无功调节固定补偿价格；响应组织初期，取</w:t>
      </w:r>
      <w:r>
        <w:rPr>
          <w:rFonts w:hint="eastAsia" w:eastAsia="仿宋_GB2312" w:cs="仿宋_GB2312"/>
          <w:color w:val="auto"/>
          <w:sz w:val="32"/>
          <w:szCs w:val="32"/>
          <w:highlight w:val="none"/>
          <w:lang w:val="en-US" w:eastAsia="zh-CN"/>
        </w:rPr>
        <w:t>R</w:t>
      </w:r>
      <w:r>
        <w:rPr>
          <w:rFonts w:hint="eastAsia" w:eastAsia="仿宋_GB2312" w:cs="仿宋_GB2312"/>
          <w:color w:val="auto"/>
          <w:sz w:val="32"/>
          <w:szCs w:val="32"/>
          <w:highlight w:val="none"/>
          <w:vertAlign w:val="subscript"/>
          <w:lang w:val="en-US" w:eastAsia="zh-CN"/>
        </w:rPr>
        <w:t>3</w:t>
      </w:r>
      <w:r>
        <w:rPr>
          <w:rFonts w:hint="eastAsia" w:ascii="仿宋_GB2312" w:hAnsi="仿宋_GB2312" w:eastAsia="仿宋_GB2312" w:cs="仿宋_GB2312"/>
          <w:b w:val="0"/>
          <w:bCs w:val="0"/>
          <w:color w:val="auto"/>
          <w:sz w:val="32"/>
          <w:szCs w:val="48"/>
          <w:highlight w:val="none"/>
          <w:vertAlign w:val="baseline"/>
          <w:lang w:val="en-US" w:eastAsia="zh-CN"/>
        </w:rPr>
        <w:t>,详见</w:t>
      </w:r>
      <w:r>
        <w:rPr>
          <w:rFonts w:hint="eastAsia" w:eastAsia="仿宋_GB2312" w:cs="仿宋_GB2312"/>
          <w:b w:val="0"/>
          <w:bCs w:val="0"/>
          <w:color w:val="auto"/>
          <w:sz w:val="32"/>
          <w:szCs w:val="48"/>
          <w:highlight w:val="none"/>
          <w:vertAlign w:val="baseline"/>
          <w:lang w:val="en-US" w:eastAsia="zh-CN"/>
        </w:rPr>
        <w:t>附录11</w:t>
      </w:r>
      <w:r>
        <w:rPr>
          <w:rFonts w:hint="eastAsia" w:ascii="仿宋_GB2312" w:hAnsi="仿宋_GB2312" w:eastAsia="仿宋_GB2312" w:cs="仿宋_GB2312"/>
          <w:b w:val="0"/>
          <w:bCs w:val="0"/>
          <w:color w:val="auto"/>
          <w:sz w:val="32"/>
          <w:szCs w:val="48"/>
          <w:highlight w:val="none"/>
          <w:vertAlign w:val="baseline"/>
          <w:lang w:val="en-US" w:eastAsia="zh-CN"/>
        </w:rPr>
        <w:t>。</w:t>
      </w:r>
    </w:p>
    <w:p w14:paraId="466CB857">
      <w:pPr>
        <w:pStyle w:val="31"/>
        <w:ind w:firstLine="640" w:firstLineChars="0"/>
        <w:jc w:val="left"/>
        <w:rPr>
          <w:rFonts w:hint="eastAsia" w:ascii="仿宋_GB2312" w:hAnsi="仿宋_GB2312" w:eastAsia="仿宋_GB2312" w:cs="仿宋_GB2312"/>
          <w:b w:val="0"/>
          <w:bCs w:val="0"/>
          <w:color w:val="auto"/>
          <w:sz w:val="32"/>
          <w:szCs w:val="48"/>
          <w:highlight w:val="none"/>
          <w:vertAlign w:val="baseline"/>
          <w:lang w:val="en-US" w:eastAsia="zh-CN"/>
        </w:rPr>
      </w:pPr>
    </w:p>
    <w:p w14:paraId="402152AB">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hint="eastAsia" w:ascii="Times New Roman" w:hAnsi="Times New Roman" w:eastAsia="黑体" w:cs="Times New Roman"/>
          <w:b w:val="0"/>
          <w:bCs/>
          <w:color w:val="auto"/>
          <w:sz w:val="32"/>
          <w:szCs w:val="32"/>
          <w:highlight w:val="none"/>
        </w:rPr>
        <w:t>信息</w:t>
      </w:r>
      <w:r>
        <w:rPr>
          <w:rFonts w:hint="eastAsia" w:ascii="Times New Roman" w:hAnsi="Times New Roman" w:eastAsia="黑体" w:cs="Times New Roman"/>
          <w:b w:val="0"/>
          <w:bCs/>
          <w:color w:val="auto"/>
          <w:sz w:val="32"/>
          <w:szCs w:val="32"/>
          <w:highlight w:val="none"/>
          <w:lang w:val="en-US" w:eastAsia="zh-CN"/>
        </w:rPr>
        <w:t>发布</w:t>
      </w:r>
    </w:p>
    <w:p w14:paraId="56EB2E89">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hint="default" w:ascii="Times New Roman" w:hAnsi="Times New Roman" w:eastAsia="仿宋_GB2312" w:cs="Times New Roman"/>
          <w:bCs/>
          <w:color w:val="auto"/>
          <w:sz w:val="32"/>
          <w:szCs w:val="32"/>
          <w:highlight w:val="none"/>
        </w:rPr>
        <w:t>[向</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bCs/>
          <w:color w:val="auto"/>
          <w:sz w:val="32"/>
          <w:szCs w:val="32"/>
          <w:highlight w:val="none"/>
        </w:rPr>
        <w:t>披露信息]</w:t>
      </w:r>
      <w:r>
        <w:rPr>
          <w:rFonts w:hint="default" w:ascii="Times New Roman" w:hAnsi="Times New Roman" w:eastAsia="仿宋_GB2312" w:cs="Times New Roman"/>
          <w:color w:val="auto"/>
          <w:sz w:val="32"/>
          <w:szCs w:val="32"/>
          <w:highlight w:val="none"/>
        </w:rPr>
        <w:t>管理中心应向各</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color w:val="auto"/>
          <w:sz w:val="32"/>
          <w:szCs w:val="32"/>
          <w:highlight w:val="none"/>
        </w:rPr>
        <w:t>披露的信息主要包括：基线</w:t>
      </w:r>
      <w:r>
        <w:rPr>
          <w:rFonts w:hint="eastAsia" w:ascii="Times New Roman" w:hAnsi="Times New Roman" w:eastAsia="仿宋_GB2312" w:cs="Times New Roman"/>
          <w:color w:val="auto"/>
          <w:sz w:val="32"/>
          <w:szCs w:val="32"/>
          <w:highlight w:val="none"/>
          <w:lang w:val="en-US" w:eastAsia="zh-CN"/>
        </w:rPr>
        <w:t>负荷</w:t>
      </w:r>
      <w:r>
        <w:rPr>
          <w:rFonts w:hint="default" w:ascii="Times New Roman" w:hAnsi="Times New Roman" w:eastAsia="仿宋_GB2312" w:cs="Times New Roman"/>
          <w:color w:val="auto"/>
          <w:sz w:val="32"/>
          <w:szCs w:val="32"/>
          <w:highlight w:val="none"/>
        </w:rPr>
        <w:t>、需求</w:t>
      </w:r>
      <w:r>
        <w:rPr>
          <w:rFonts w:hint="eastAsia" w:ascii="Times New Roman" w:hAnsi="Times New Roman" w:eastAsia="仿宋_GB2312" w:cs="Times New Roman"/>
          <w:color w:val="auto"/>
          <w:sz w:val="32"/>
          <w:szCs w:val="32"/>
          <w:highlight w:val="none"/>
          <w:lang w:val="en-US" w:eastAsia="zh-CN"/>
        </w:rPr>
        <w:t>容量</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价格系数、</w:t>
      </w:r>
      <w:r>
        <w:rPr>
          <w:rFonts w:hint="default" w:ascii="Times New Roman" w:hAnsi="Times New Roman" w:eastAsia="仿宋_GB2312" w:cs="Times New Roman"/>
          <w:color w:val="auto"/>
          <w:sz w:val="32"/>
          <w:szCs w:val="32"/>
          <w:highlight w:val="none"/>
        </w:rPr>
        <w:t>实际响应调节量、</w:t>
      </w:r>
      <w:r>
        <w:rPr>
          <w:rFonts w:hint="eastAsia" w:ascii="Times New Roman" w:hAnsi="Times New Roman" w:eastAsia="仿宋_GB2312" w:cs="Times New Roman"/>
          <w:color w:val="auto"/>
          <w:sz w:val="32"/>
          <w:szCs w:val="32"/>
          <w:highlight w:val="none"/>
          <w:lang w:val="en-US" w:eastAsia="zh-CN"/>
        </w:rPr>
        <w:t>补贴费用</w:t>
      </w:r>
      <w:r>
        <w:rPr>
          <w:rFonts w:hint="default" w:ascii="Times New Roman" w:hAnsi="Times New Roman" w:eastAsia="仿宋_GB2312" w:cs="Times New Roman"/>
          <w:color w:val="auto"/>
          <w:sz w:val="32"/>
          <w:szCs w:val="32"/>
          <w:highlight w:val="none"/>
        </w:rPr>
        <w:t>等。</w:t>
      </w:r>
    </w:p>
    <w:p w14:paraId="021E50BA">
      <w:pPr>
        <w:pStyle w:val="33"/>
        <w:numPr>
          <w:ilvl w:val="0"/>
          <w:numId w:val="0"/>
        </w:numPr>
        <w:tabs>
          <w:tab w:val="left" w:pos="6720"/>
        </w:tabs>
        <w:spacing w:line="560" w:lineRule="exact"/>
        <w:ind w:left="479" w:leftChars="228"/>
        <w:rPr>
          <w:rFonts w:hint="default" w:ascii="Times New Roman" w:hAnsi="Times New Roman" w:eastAsia="黑体" w:cs="Times New Roman"/>
          <w:b/>
          <w:color w:val="auto"/>
          <w:sz w:val="32"/>
          <w:szCs w:val="32"/>
          <w:highlight w:val="none"/>
        </w:rPr>
      </w:pPr>
    </w:p>
    <w:p w14:paraId="31484822">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hint="eastAsia" w:ascii="Times New Roman" w:hAnsi="Times New Roman" w:eastAsia="黑体" w:cs="Times New Roman"/>
          <w:b w:val="0"/>
          <w:bCs/>
          <w:color w:val="auto"/>
          <w:sz w:val="32"/>
          <w:szCs w:val="32"/>
          <w:highlight w:val="none"/>
        </w:rPr>
        <w:t>衔接机制</w:t>
      </w:r>
    </w:p>
    <w:p w14:paraId="056056A2">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与市场化需求响应的</w:t>
      </w:r>
      <w:r>
        <w:rPr>
          <w:rFonts w:ascii="Times New Roman" w:hAnsi="Times New Roman" w:eastAsia="仿宋_GB2312" w:cs="Times New Roman"/>
          <w:bCs/>
          <w:color w:val="auto"/>
          <w:sz w:val="32"/>
          <w:szCs w:val="32"/>
          <w:highlight w:val="none"/>
        </w:rPr>
        <w:t>衔接]</w:t>
      </w:r>
      <w:r>
        <w:rPr>
          <w:rFonts w:hint="eastAsia" w:ascii="Times New Roman" w:hAnsi="Times New Roman" w:eastAsia="仿宋_GB2312" w:cs="Times New Roman"/>
          <w:bCs/>
          <w:color w:val="auto"/>
          <w:sz w:val="32"/>
          <w:szCs w:val="32"/>
          <w:highlight w:val="none"/>
          <w:lang w:val="en-US" w:eastAsia="zh-CN"/>
        </w:rPr>
        <w:t>在一个时段内，不允许同时参与参与</w:t>
      </w:r>
      <w:r>
        <w:rPr>
          <w:rFonts w:hint="default" w:ascii="Times New Roman" w:hAnsi="Times New Roman" w:eastAsia="仿宋_GB2312" w:cs="Times New Roman"/>
          <w:bCs/>
          <w:color w:val="auto"/>
          <w:sz w:val="32"/>
          <w:szCs w:val="32"/>
          <w:highlight w:val="none"/>
        </w:rPr>
        <w:t>广东省</w:t>
      </w:r>
      <w:r>
        <w:rPr>
          <w:rFonts w:hint="eastAsia" w:ascii="Times New Roman" w:hAnsi="Times New Roman" w:eastAsia="仿宋_GB2312" w:cs="Times New Roman"/>
          <w:bCs/>
          <w:color w:val="auto"/>
          <w:sz w:val="32"/>
          <w:szCs w:val="32"/>
          <w:highlight w:val="none"/>
          <w:lang w:val="en-US" w:eastAsia="zh-CN"/>
        </w:rPr>
        <w:t>市场化</w:t>
      </w:r>
      <w:r>
        <w:rPr>
          <w:rFonts w:hint="default" w:ascii="Times New Roman" w:hAnsi="Times New Roman" w:eastAsia="仿宋_GB2312" w:cs="Times New Roman"/>
          <w:bCs/>
          <w:color w:val="auto"/>
          <w:sz w:val="32"/>
          <w:szCs w:val="32"/>
          <w:highlight w:val="none"/>
        </w:rPr>
        <w:t>需求响应</w:t>
      </w:r>
      <w:r>
        <w:rPr>
          <w:rFonts w:hint="eastAsia" w:ascii="Times New Roman" w:hAnsi="Times New Roman" w:eastAsia="仿宋_GB2312" w:cs="Times New Roman"/>
          <w:bCs/>
          <w:color w:val="auto"/>
          <w:sz w:val="32"/>
          <w:szCs w:val="32"/>
          <w:highlight w:val="none"/>
          <w:lang w:val="en-US" w:eastAsia="zh-CN"/>
        </w:rPr>
        <w:t>与广州市电力响应服务，参加</w:t>
      </w:r>
      <w:r>
        <w:rPr>
          <w:rFonts w:hint="default" w:ascii="Times New Roman" w:hAnsi="Times New Roman" w:eastAsia="仿宋_GB2312" w:cs="Times New Roman"/>
          <w:bCs/>
          <w:color w:val="auto"/>
          <w:sz w:val="32"/>
          <w:szCs w:val="32"/>
          <w:highlight w:val="none"/>
        </w:rPr>
        <w:t>广东省</w:t>
      </w:r>
      <w:r>
        <w:rPr>
          <w:rFonts w:hint="eastAsia" w:ascii="Times New Roman" w:hAnsi="Times New Roman" w:eastAsia="仿宋_GB2312" w:cs="Times New Roman"/>
          <w:bCs/>
          <w:color w:val="auto"/>
          <w:sz w:val="32"/>
          <w:szCs w:val="32"/>
          <w:highlight w:val="none"/>
          <w:lang w:val="en-US" w:eastAsia="zh-CN"/>
        </w:rPr>
        <w:t>市场化</w:t>
      </w:r>
      <w:r>
        <w:rPr>
          <w:rFonts w:hint="default" w:ascii="Times New Roman" w:hAnsi="Times New Roman" w:eastAsia="仿宋_GB2312" w:cs="Times New Roman"/>
          <w:bCs/>
          <w:color w:val="auto"/>
          <w:sz w:val="32"/>
          <w:szCs w:val="32"/>
          <w:highlight w:val="none"/>
        </w:rPr>
        <w:t>需求响应</w:t>
      </w:r>
      <w:r>
        <w:rPr>
          <w:rFonts w:hint="eastAsia" w:ascii="Times New Roman" w:hAnsi="Times New Roman" w:eastAsia="仿宋_GB2312" w:cs="Times New Roman"/>
          <w:bCs/>
          <w:color w:val="auto"/>
          <w:sz w:val="32"/>
          <w:szCs w:val="32"/>
          <w:highlight w:val="none"/>
          <w:lang w:val="en-US" w:eastAsia="zh-CN"/>
        </w:rPr>
        <w:t>交易的用户在广州虚拟电厂</w:t>
      </w:r>
      <w:r>
        <w:rPr>
          <w:rFonts w:hint="default" w:ascii="Times New Roman" w:hAnsi="Times New Roman" w:eastAsia="仿宋_GB2312" w:cs="Times New Roman"/>
          <w:bCs/>
          <w:color w:val="auto"/>
          <w:sz w:val="32"/>
          <w:szCs w:val="32"/>
          <w:highlight w:val="none"/>
        </w:rPr>
        <w:t>响应</w:t>
      </w:r>
      <w:r>
        <w:rPr>
          <w:rFonts w:ascii="Times New Roman" w:hAnsi="Times New Roman" w:eastAsia="仿宋_GB2312" w:cs="Times New Roman"/>
          <w:bCs/>
          <w:color w:val="auto"/>
          <w:sz w:val="32"/>
          <w:szCs w:val="32"/>
          <w:highlight w:val="none"/>
        </w:rPr>
        <w:t>服务</w:t>
      </w:r>
      <w:r>
        <w:rPr>
          <w:rFonts w:hint="eastAsia" w:ascii="Times New Roman" w:hAnsi="Times New Roman" w:eastAsia="仿宋_GB2312" w:cs="Times New Roman"/>
          <w:bCs/>
          <w:color w:val="auto"/>
          <w:sz w:val="32"/>
          <w:szCs w:val="32"/>
          <w:highlight w:val="none"/>
          <w:lang w:val="en-US" w:eastAsia="zh-CN"/>
        </w:rPr>
        <w:t>为无效响应</w:t>
      </w:r>
      <w:r>
        <w:rPr>
          <w:rFonts w:hint="default" w:ascii="Times New Roman" w:hAnsi="Times New Roman" w:eastAsia="仿宋_GB2312" w:cs="Times New Roman"/>
          <w:bCs/>
          <w:color w:val="auto"/>
          <w:sz w:val="32"/>
          <w:szCs w:val="32"/>
          <w:highlight w:val="none"/>
        </w:rPr>
        <w:t>。</w:t>
      </w:r>
    </w:p>
    <w:p w14:paraId="0FEB8483">
      <w:pPr>
        <w:pStyle w:val="33"/>
        <w:numPr>
          <w:ilvl w:val="0"/>
          <w:numId w:val="0"/>
        </w:numPr>
        <w:tabs>
          <w:tab w:val="left" w:pos="6720"/>
        </w:tabs>
        <w:spacing w:line="560" w:lineRule="exact"/>
        <w:ind w:left="479" w:leftChars="228"/>
        <w:rPr>
          <w:rFonts w:hint="default" w:ascii="Times New Roman" w:hAnsi="Times New Roman" w:eastAsia="黑体" w:cs="Times New Roman"/>
          <w:b/>
          <w:color w:val="auto"/>
          <w:sz w:val="32"/>
          <w:szCs w:val="32"/>
          <w:highlight w:val="none"/>
        </w:rPr>
      </w:pPr>
    </w:p>
    <w:p w14:paraId="2F672BE0">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惩罚机制</w:t>
      </w:r>
    </w:p>
    <w:p w14:paraId="21CC36ED">
      <w:pPr>
        <w:pStyle w:val="33"/>
        <w:numPr>
          <w:ilvl w:val="0"/>
          <w:numId w:val="5"/>
        </w:numPr>
        <w:tabs>
          <w:tab w:val="left" w:pos="6720"/>
        </w:tabs>
        <w:adjustRightInd w:val="0"/>
        <w:snapToGrid w:val="0"/>
        <w:spacing w:line="560" w:lineRule="exact"/>
        <w:ind w:firstLine="640"/>
        <w:rPr>
          <w:rFonts w:hint="default" w:ascii="Times New Roman" w:hAnsi="Times New Roman" w:eastAsia="黑体" w:cs="Times New Roman"/>
          <w:b/>
          <w:color w:val="auto"/>
          <w:sz w:val="32"/>
          <w:szCs w:val="32"/>
          <w:highlight w:val="none"/>
        </w:rPr>
      </w:pPr>
      <w:r>
        <w:rPr>
          <w:rFonts w:ascii="Times New Roman" w:hAnsi="Times New Roman" w:eastAsia="仿宋_GB2312" w:cs="Times New Roman"/>
          <w:color w:val="auto"/>
          <w:sz w:val="32"/>
          <w:szCs w:val="32"/>
          <w:highlight w:val="none"/>
          <w:lang w:bidi="ar"/>
        </w:rPr>
        <w:t>[惩罚机制]虚拟电厂运营商存在长期未达到真实调节能力或实际响应偏差较大等情形的，管理中心有权要求其进行整改。虚拟电厂运营商全时段实际调节量无效次数全年累计超过3次以上的，暂停其参与资格3个月，惩罚期满重新累积</w:t>
      </w:r>
      <w:r>
        <w:rPr>
          <w:rFonts w:hint="default" w:ascii="Times New Roman" w:hAnsi="Times New Roman" w:eastAsia="仿宋_GB2312" w:cs="Times New Roman"/>
          <w:color w:val="auto"/>
          <w:sz w:val="32"/>
          <w:szCs w:val="32"/>
          <w:highlight w:val="none"/>
        </w:rPr>
        <w:t>。</w:t>
      </w:r>
    </w:p>
    <w:p w14:paraId="43E556FE">
      <w:pPr>
        <w:pStyle w:val="33"/>
        <w:numPr>
          <w:ilvl w:val="0"/>
          <w:numId w:val="0"/>
        </w:numPr>
        <w:tabs>
          <w:tab w:val="left" w:pos="6720"/>
        </w:tabs>
        <w:adjustRightInd w:val="0"/>
        <w:snapToGrid w:val="0"/>
        <w:spacing w:line="560" w:lineRule="exact"/>
        <w:ind w:left="420" w:leftChars="200"/>
        <w:rPr>
          <w:rFonts w:hint="default" w:ascii="Times New Roman" w:hAnsi="Times New Roman" w:eastAsia="黑体" w:cs="Times New Roman"/>
          <w:b/>
          <w:color w:val="auto"/>
          <w:sz w:val="32"/>
          <w:szCs w:val="32"/>
          <w:highlight w:val="none"/>
        </w:rPr>
      </w:pPr>
    </w:p>
    <w:p w14:paraId="049AC3D4">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hint="eastAsia" w:ascii="Times New Roman" w:hAnsi="Times New Roman" w:eastAsia="黑体" w:cs="Times New Roman"/>
          <w:b w:val="0"/>
          <w:bCs/>
          <w:color w:val="auto"/>
          <w:sz w:val="32"/>
          <w:szCs w:val="32"/>
          <w:highlight w:val="none"/>
        </w:rPr>
        <w:t>结果审批与发布</w:t>
      </w:r>
    </w:p>
    <w:p w14:paraId="52B9F0D6">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hint="default" w:ascii="Times New Roman" w:hAnsi="Times New Roman" w:eastAsia="仿宋_GB2312" w:cs="Times New Roman"/>
          <w:bCs/>
          <w:color w:val="auto"/>
          <w:sz w:val="32"/>
          <w:szCs w:val="32"/>
          <w:highlight w:val="none"/>
        </w:rPr>
        <w:t>[结果审批]</w:t>
      </w:r>
      <w:r>
        <w:rPr>
          <w:rFonts w:hint="default" w:ascii="Times New Roman" w:hAnsi="Times New Roman" w:eastAsia="仿宋_GB2312" w:cs="Times New Roman"/>
          <w:color w:val="auto"/>
          <w:sz w:val="32"/>
          <w:szCs w:val="32"/>
          <w:highlight w:val="none"/>
          <w:lang w:bidi="ar"/>
        </w:rPr>
        <w:t>管理中心</w:t>
      </w:r>
      <w:r>
        <w:rPr>
          <w:rFonts w:ascii="Times New Roman" w:hAnsi="Times New Roman" w:eastAsia="仿宋_GB2312" w:cs="Times New Roman"/>
          <w:color w:val="auto"/>
          <w:sz w:val="32"/>
          <w:szCs w:val="32"/>
          <w:highlight w:val="none"/>
          <w:lang w:bidi="ar"/>
        </w:rPr>
        <w:t>将响应</w:t>
      </w:r>
      <w:r>
        <w:rPr>
          <w:rFonts w:hint="default" w:ascii="Times New Roman" w:hAnsi="Times New Roman" w:eastAsia="仿宋_GB2312" w:cs="Times New Roman"/>
          <w:color w:val="auto"/>
          <w:sz w:val="32"/>
          <w:szCs w:val="32"/>
          <w:highlight w:val="none"/>
          <w:lang w:bidi="ar"/>
        </w:rPr>
        <w:t>结果进行汇总，并在</w:t>
      </w:r>
      <w:r>
        <w:rPr>
          <w:rFonts w:ascii="Times New Roman" w:hAnsi="Times New Roman" w:eastAsia="仿宋_GB2312" w:cs="Times New Roman"/>
          <w:color w:val="auto"/>
          <w:sz w:val="32"/>
          <w:szCs w:val="32"/>
          <w:highlight w:val="none"/>
          <w:lang w:bidi="ar"/>
        </w:rPr>
        <w:t>虚拟电厂管理平台进行</w:t>
      </w:r>
      <w:r>
        <w:rPr>
          <w:rFonts w:hint="default" w:ascii="Times New Roman" w:hAnsi="Times New Roman" w:eastAsia="仿宋_GB2312" w:cs="Times New Roman"/>
          <w:color w:val="auto"/>
          <w:sz w:val="32"/>
          <w:szCs w:val="32"/>
          <w:highlight w:val="none"/>
          <w:lang w:bidi="ar"/>
        </w:rPr>
        <w:t>公示，经</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color w:val="auto"/>
          <w:sz w:val="32"/>
          <w:szCs w:val="32"/>
          <w:highlight w:val="none"/>
          <w:lang w:bidi="ar"/>
        </w:rPr>
        <w:t>反馈确认无误后，向市工业和信息化局</w:t>
      </w:r>
      <w:r>
        <w:rPr>
          <w:rFonts w:hint="eastAsia" w:ascii="Times New Roman" w:hAnsi="Times New Roman" w:eastAsia="仿宋_GB2312" w:cs="Times New Roman"/>
          <w:color w:val="auto"/>
          <w:sz w:val="32"/>
          <w:szCs w:val="32"/>
          <w:highlight w:val="none"/>
          <w:lang w:val="en-US" w:eastAsia="zh-CN" w:bidi="ar"/>
        </w:rPr>
        <w:t>报送</w:t>
      </w:r>
      <w:r>
        <w:rPr>
          <w:rFonts w:ascii="Times New Roman" w:hAnsi="Times New Roman" w:eastAsia="仿宋_GB2312" w:cs="Times New Roman"/>
          <w:color w:val="auto"/>
          <w:sz w:val="32"/>
          <w:szCs w:val="32"/>
          <w:highlight w:val="none"/>
          <w:lang w:bidi="ar"/>
        </w:rPr>
        <w:t>，</w:t>
      </w:r>
      <w:r>
        <w:rPr>
          <w:rFonts w:hint="default" w:ascii="Times New Roman" w:hAnsi="Times New Roman" w:eastAsia="仿宋_GB2312" w:cs="Times New Roman"/>
          <w:color w:val="auto"/>
          <w:sz w:val="32"/>
          <w:szCs w:val="32"/>
          <w:highlight w:val="none"/>
          <w:lang w:bidi="ar"/>
        </w:rPr>
        <w:t>由</w:t>
      </w:r>
      <w:r>
        <w:rPr>
          <w:rFonts w:hint="eastAsia" w:ascii="Times New Roman" w:hAnsi="Times New Roman" w:eastAsia="仿宋_GB2312" w:cs="Times New Roman"/>
          <w:color w:val="auto"/>
          <w:sz w:val="32"/>
          <w:szCs w:val="32"/>
          <w:highlight w:val="none"/>
          <w:lang w:val="en-US" w:eastAsia="zh-CN" w:bidi="ar"/>
        </w:rPr>
        <w:t>广州</w:t>
      </w:r>
      <w:r>
        <w:rPr>
          <w:rFonts w:hint="default" w:ascii="Times New Roman" w:hAnsi="Times New Roman" w:eastAsia="仿宋_GB2312" w:cs="Times New Roman"/>
          <w:color w:val="auto"/>
          <w:sz w:val="32"/>
          <w:szCs w:val="32"/>
          <w:highlight w:val="none"/>
          <w:lang w:bidi="ar"/>
        </w:rPr>
        <w:t>市工业和信息化局</w:t>
      </w:r>
      <w:r>
        <w:rPr>
          <w:rFonts w:ascii="Times New Roman" w:hAnsi="Times New Roman" w:eastAsia="仿宋_GB2312" w:cs="Times New Roman"/>
          <w:color w:val="auto"/>
          <w:sz w:val="32"/>
          <w:szCs w:val="32"/>
          <w:highlight w:val="none"/>
          <w:lang w:bidi="ar"/>
        </w:rPr>
        <w:t>进行审核</w:t>
      </w:r>
      <w:r>
        <w:rPr>
          <w:rFonts w:hint="eastAsia" w:ascii="Times New Roman" w:hAnsi="Times New Roman" w:eastAsia="仿宋_GB2312" w:cs="Times New Roman"/>
          <w:color w:val="auto"/>
          <w:sz w:val="32"/>
          <w:szCs w:val="32"/>
          <w:highlight w:val="none"/>
          <w:lang w:val="en-US" w:eastAsia="zh-CN" w:bidi="ar"/>
        </w:rPr>
        <w:t>确认</w:t>
      </w:r>
      <w:r>
        <w:rPr>
          <w:rFonts w:hint="default" w:ascii="Times New Roman" w:hAnsi="Times New Roman" w:eastAsia="仿宋_GB2312" w:cs="Times New Roman"/>
          <w:color w:val="auto"/>
          <w:sz w:val="32"/>
          <w:szCs w:val="32"/>
          <w:highlight w:val="none"/>
          <w:lang w:bidi="ar"/>
        </w:rPr>
        <w:t>。</w:t>
      </w:r>
    </w:p>
    <w:p w14:paraId="5CE49FD0">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hint="default" w:ascii="Times New Roman" w:hAnsi="Times New Roman" w:eastAsia="仿宋_GB2312" w:cs="Times New Roman"/>
          <w:bCs/>
          <w:color w:val="auto"/>
          <w:sz w:val="32"/>
          <w:szCs w:val="32"/>
          <w:highlight w:val="none"/>
        </w:rPr>
        <w:t>[结果发布]</w:t>
      </w:r>
      <w:r>
        <w:rPr>
          <w:rFonts w:hint="eastAsia" w:ascii="Times New Roman" w:hAnsi="Times New Roman" w:eastAsia="仿宋_GB2312" w:cs="Times New Roman"/>
          <w:bCs/>
          <w:color w:val="auto"/>
          <w:sz w:val="32"/>
          <w:szCs w:val="32"/>
          <w:highlight w:val="none"/>
          <w:lang w:val="en-US" w:eastAsia="zh-CN"/>
        </w:rPr>
        <w:t>广州</w:t>
      </w:r>
      <w:r>
        <w:rPr>
          <w:rFonts w:hint="default" w:ascii="Times New Roman" w:hAnsi="Times New Roman" w:eastAsia="仿宋_GB2312" w:cs="Times New Roman"/>
          <w:color w:val="auto"/>
          <w:sz w:val="32"/>
          <w:szCs w:val="32"/>
          <w:highlight w:val="none"/>
          <w:lang w:bidi="ar"/>
        </w:rPr>
        <w:t>市工业和信息化局通过官方网站对</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color w:val="auto"/>
          <w:sz w:val="32"/>
          <w:szCs w:val="32"/>
          <w:highlight w:val="none"/>
          <w:lang w:bidi="ar"/>
        </w:rPr>
        <w:t>调节效果评估和补贴金额进行公示，公示期</w:t>
      </w:r>
      <w:r>
        <w:rPr>
          <w:rFonts w:ascii="Times New Roman" w:hAnsi="Times New Roman" w:eastAsia="仿宋_GB2312" w:cs="Times New Roman"/>
          <w:color w:val="auto"/>
          <w:sz w:val="32"/>
          <w:szCs w:val="32"/>
          <w:highlight w:val="none"/>
          <w:lang w:bidi="ar"/>
        </w:rPr>
        <w:t>为</w:t>
      </w:r>
      <w:r>
        <w:rPr>
          <w:rFonts w:hint="default" w:ascii="Times New Roman" w:hAnsi="Times New Roman" w:eastAsia="仿宋_GB2312" w:cs="Times New Roman"/>
          <w:color w:val="auto"/>
          <w:sz w:val="32"/>
          <w:szCs w:val="32"/>
          <w:highlight w:val="none"/>
          <w:lang w:bidi="ar"/>
        </w:rPr>
        <w:t>1周</w:t>
      </w:r>
      <w:r>
        <w:rPr>
          <w:rFonts w:ascii="Times New Roman" w:hAnsi="Times New Roman" w:eastAsia="仿宋_GB2312" w:cs="Times New Roman"/>
          <w:color w:val="auto"/>
          <w:sz w:val="32"/>
          <w:szCs w:val="32"/>
          <w:highlight w:val="none"/>
          <w:lang w:bidi="ar"/>
        </w:rPr>
        <w:t>。</w:t>
      </w:r>
    </w:p>
    <w:p w14:paraId="732D94A8">
      <w:pPr>
        <w:pStyle w:val="33"/>
        <w:numPr>
          <w:ilvl w:val="0"/>
          <w:numId w:val="0"/>
        </w:numPr>
        <w:tabs>
          <w:tab w:val="left" w:pos="6720"/>
        </w:tabs>
        <w:spacing w:line="560" w:lineRule="exact"/>
        <w:ind w:left="479" w:leftChars="228"/>
        <w:rPr>
          <w:rFonts w:hint="default" w:ascii="Times New Roman" w:hAnsi="Times New Roman" w:eastAsia="黑体" w:cs="Times New Roman"/>
          <w:b/>
          <w:color w:val="auto"/>
          <w:sz w:val="32"/>
          <w:szCs w:val="32"/>
          <w:highlight w:val="none"/>
        </w:rPr>
      </w:pPr>
    </w:p>
    <w:p w14:paraId="716E5E27">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hint="eastAsia" w:ascii="Times New Roman" w:hAnsi="Times New Roman" w:eastAsia="黑体" w:cs="Times New Roman"/>
          <w:b w:val="0"/>
          <w:bCs/>
          <w:color w:val="auto"/>
          <w:sz w:val="32"/>
          <w:szCs w:val="32"/>
          <w:highlight w:val="none"/>
        </w:rPr>
        <w:t>资金申报与拨付</w:t>
      </w:r>
    </w:p>
    <w:p w14:paraId="2284178E">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响应效果</w:t>
      </w:r>
      <w:r>
        <w:rPr>
          <w:rFonts w:ascii="Times New Roman" w:hAnsi="Times New Roman" w:eastAsia="仿宋_GB2312" w:cs="Times New Roman"/>
          <w:bCs/>
          <w:color w:val="auto"/>
          <w:sz w:val="32"/>
          <w:szCs w:val="32"/>
          <w:highlight w:val="none"/>
        </w:rPr>
        <w:t>评定]</w:t>
      </w:r>
      <w:r>
        <w:rPr>
          <w:rFonts w:hint="default" w:ascii="Times New Roman" w:hAnsi="Times New Roman" w:eastAsia="仿宋_GB2312" w:cs="Times New Roman"/>
          <w:bCs/>
          <w:color w:val="auto"/>
          <w:sz w:val="32"/>
          <w:szCs w:val="32"/>
          <w:highlight w:val="none"/>
        </w:rPr>
        <w:t>管理中心负责对</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bCs/>
          <w:color w:val="auto"/>
          <w:sz w:val="32"/>
          <w:szCs w:val="32"/>
          <w:highlight w:val="none"/>
        </w:rPr>
        <w:t>进行响应效果核定，按照结合参与调节容量、最终核定调节量、响应</w:t>
      </w:r>
      <w:r>
        <w:rPr>
          <w:rFonts w:hint="eastAsia" w:ascii="Times New Roman" w:hAnsi="Times New Roman" w:eastAsia="仿宋_GB2312" w:cs="Times New Roman"/>
          <w:bCs/>
          <w:color w:val="auto"/>
          <w:sz w:val="32"/>
          <w:szCs w:val="32"/>
          <w:highlight w:val="none"/>
          <w:lang w:val="en-US" w:eastAsia="zh-CN"/>
        </w:rPr>
        <w:t>效果确定</w:t>
      </w:r>
      <w:r>
        <w:rPr>
          <w:rFonts w:hint="default" w:ascii="Times New Roman" w:hAnsi="Times New Roman" w:eastAsia="仿宋_GB2312" w:cs="Times New Roman"/>
          <w:bCs/>
          <w:color w:val="auto"/>
          <w:sz w:val="32"/>
          <w:szCs w:val="32"/>
          <w:highlight w:val="none"/>
        </w:rPr>
        <w:t>补贴</w:t>
      </w:r>
      <w:r>
        <w:rPr>
          <w:rFonts w:hint="eastAsia" w:ascii="Times New Roman" w:hAnsi="Times New Roman" w:eastAsia="仿宋_GB2312" w:cs="Times New Roman"/>
          <w:bCs/>
          <w:color w:val="auto"/>
          <w:sz w:val="32"/>
          <w:szCs w:val="32"/>
          <w:highlight w:val="none"/>
          <w:lang w:val="en-US" w:eastAsia="zh-CN"/>
        </w:rPr>
        <w:t>费用</w:t>
      </w:r>
      <w:r>
        <w:rPr>
          <w:rFonts w:ascii="Times New Roman" w:hAnsi="Times New Roman" w:eastAsia="仿宋_GB2312" w:cs="Times New Roman"/>
          <w:bCs/>
          <w:color w:val="auto"/>
          <w:sz w:val="32"/>
          <w:szCs w:val="32"/>
          <w:highlight w:val="none"/>
        </w:rPr>
        <w:t>。</w:t>
      </w:r>
    </w:p>
    <w:p w14:paraId="197A36BD">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ascii="Times New Roman" w:hAnsi="Times New Roman" w:eastAsia="仿宋_GB2312" w:cs="Times New Roman"/>
          <w:bCs/>
          <w:color w:val="auto"/>
          <w:sz w:val="32"/>
          <w:szCs w:val="32"/>
          <w:highlight w:val="none"/>
        </w:rPr>
        <w:t>[补贴内容]广州市虚拟电厂财政补贴包含</w:t>
      </w:r>
      <w:r>
        <w:rPr>
          <w:rFonts w:hint="eastAsia" w:ascii="Times New Roman" w:hAnsi="Times New Roman" w:eastAsia="仿宋_GB2312" w:cs="Times New Roman"/>
          <w:bCs/>
          <w:color w:val="auto"/>
          <w:sz w:val="32"/>
          <w:szCs w:val="32"/>
          <w:highlight w:val="none"/>
          <w:lang w:eastAsia="zh-CN"/>
        </w:rPr>
        <w:t>有功响应</w:t>
      </w:r>
      <w:r>
        <w:rPr>
          <w:rFonts w:ascii="Times New Roman" w:hAnsi="Times New Roman" w:eastAsia="仿宋_GB2312" w:cs="Times New Roman"/>
          <w:bCs/>
          <w:color w:val="auto"/>
          <w:sz w:val="32"/>
          <w:szCs w:val="32"/>
          <w:highlight w:val="none"/>
        </w:rPr>
        <w:t>补贴、备用服务补贴、无功调节补贴三部分。管理中心在每年底</w:t>
      </w:r>
      <w:r>
        <w:rPr>
          <w:rFonts w:hint="eastAsia" w:ascii="Times New Roman" w:hAnsi="Times New Roman" w:eastAsia="仿宋_GB2312" w:cs="Times New Roman"/>
          <w:bCs/>
          <w:color w:val="auto"/>
          <w:sz w:val="32"/>
          <w:szCs w:val="32"/>
          <w:highlight w:val="none"/>
          <w:lang w:val="en-US" w:eastAsia="zh-CN"/>
        </w:rPr>
        <w:t>汇总本年度</w:t>
      </w:r>
      <w:r>
        <w:rPr>
          <w:rFonts w:ascii="Times New Roman" w:hAnsi="Times New Roman" w:eastAsia="仿宋_GB2312" w:cs="Times New Roman"/>
          <w:bCs/>
          <w:color w:val="auto"/>
          <w:sz w:val="32"/>
          <w:szCs w:val="32"/>
          <w:highlight w:val="none"/>
        </w:rPr>
        <w:t>的专项资金</w:t>
      </w:r>
      <w:r>
        <w:rPr>
          <w:rFonts w:hint="eastAsia" w:ascii="Times New Roman" w:hAnsi="Times New Roman" w:eastAsia="仿宋_GB2312" w:cs="Times New Roman"/>
          <w:bCs/>
          <w:color w:val="auto"/>
          <w:sz w:val="32"/>
          <w:szCs w:val="32"/>
          <w:highlight w:val="none"/>
          <w:lang w:val="en-US" w:eastAsia="zh-CN"/>
        </w:rPr>
        <w:t>使用情况</w:t>
      </w:r>
      <w:r>
        <w:rPr>
          <w:rFonts w:ascii="Times New Roman" w:hAnsi="Times New Roman" w:eastAsia="仿宋_GB2312" w:cs="Times New Roman"/>
          <w:bCs/>
          <w:color w:val="auto"/>
          <w:sz w:val="32"/>
          <w:szCs w:val="32"/>
          <w:highlight w:val="none"/>
        </w:rPr>
        <w:t>，</w:t>
      </w:r>
      <w:r>
        <w:rPr>
          <w:rFonts w:hint="eastAsia" w:ascii="Times New Roman" w:hAnsi="Times New Roman" w:eastAsia="仿宋_GB2312" w:cs="Times New Roman"/>
          <w:bCs/>
          <w:color w:val="auto"/>
          <w:sz w:val="32"/>
          <w:szCs w:val="32"/>
          <w:highlight w:val="none"/>
          <w:lang w:val="en-US" w:eastAsia="zh-CN"/>
        </w:rPr>
        <w:t>并</w:t>
      </w:r>
      <w:r>
        <w:rPr>
          <w:rFonts w:ascii="Times New Roman" w:hAnsi="Times New Roman" w:eastAsia="仿宋_GB2312" w:cs="Times New Roman"/>
          <w:bCs/>
          <w:color w:val="auto"/>
          <w:sz w:val="32"/>
          <w:szCs w:val="32"/>
          <w:highlight w:val="none"/>
        </w:rPr>
        <w:t>向</w:t>
      </w:r>
      <w:r>
        <w:rPr>
          <w:rFonts w:hint="eastAsia" w:ascii="Times New Roman" w:hAnsi="Times New Roman" w:eastAsia="仿宋_GB2312" w:cs="Times New Roman"/>
          <w:bCs/>
          <w:color w:val="auto"/>
          <w:sz w:val="32"/>
          <w:szCs w:val="32"/>
          <w:highlight w:val="none"/>
          <w:lang w:val="en-US" w:eastAsia="zh-CN"/>
        </w:rPr>
        <w:t>广州</w:t>
      </w:r>
      <w:r>
        <w:rPr>
          <w:rFonts w:ascii="Times New Roman" w:hAnsi="Times New Roman" w:eastAsia="仿宋_GB2312" w:cs="Times New Roman"/>
          <w:bCs/>
          <w:color w:val="auto"/>
          <w:sz w:val="32"/>
          <w:szCs w:val="32"/>
          <w:highlight w:val="none"/>
        </w:rPr>
        <w:t>市工业和信息化局申请</w:t>
      </w:r>
      <w:r>
        <w:rPr>
          <w:rFonts w:hint="eastAsia" w:ascii="Times New Roman" w:hAnsi="Times New Roman" w:eastAsia="仿宋_GB2312" w:cs="Times New Roman"/>
          <w:bCs/>
          <w:color w:val="auto"/>
          <w:sz w:val="32"/>
          <w:szCs w:val="32"/>
          <w:highlight w:val="none"/>
          <w:lang w:val="en-US" w:eastAsia="zh-CN"/>
        </w:rPr>
        <w:t>下年度财政资金预算</w:t>
      </w:r>
      <w:r>
        <w:rPr>
          <w:rFonts w:ascii="Times New Roman" w:hAnsi="Times New Roman" w:eastAsia="仿宋_GB2312" w:cs="Times New Roman"/>
          <w:bCs/>
          <w:color w:val="auto"/>
          <w:sz w:val="32"/>
          <w:szCs w:val="32"/>
          <w:highlight w:val="none"/>
        </w:rPr>
        <w:t>。</w:t>
      </w:r>
    </w:p>
    <w:p w14:paraId="0F1C146E">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补贴拨付</w:t>
      </w:r>
      <w:r>
        <w:rPr>
          <w:rFonts w:ascii="Times New Roman" w:hAnsi="Times New Roman" w:eastAsia="仿宋_GB2312" w:cs="Times New Roman"/>
          <w:bCs/>
          <w:color w:val="auto"/>
          <w:sz w:val="32"/>
          <w:szCs w:val="32"/>
          <w:highlight w:val="none"/>
        </w:rPr>
        <w:t>]广州供电局</w:t>
      </w:r>
      <w:r>
        <w:rPr>
          <w:rFonts w:hint="eastAsia" w:ascii="Times New Roman" w:hAnsi="Times New Roman" w:eastAsia="仿宋_GB2312" w:cs="Times New Roman"/>
          <w:bCs/>
          <w:color w:val="auto"/>
          <w:sz w:val="32"/>
          <w:szCs w:val="32"/>
          <w:highlight w:val="none"/>
          <w:lang w:val="en-US" w:eastAsia="zh-CN"/>
        </w:rPr>
        <w:t>按照《广州市虚拟电厂运行实施细则》</w:t>
      </w:r>
      <w:r>
        <w:rPr>
          <w:rFonts w:ascii="Times New Roman" w:hAnsi="Times New Roman" w:eastAsia="仿宋_GB2312" w:cs="Times New Roman"/>
          <w:bCs/>
          <w:color w:val="auto"/>
          <w:sz w:val="32"/>
          <w:szCs w:val="32"/>
          <w:highlight w:val="none"/>
        </w:rPr>
        <w:t>规定</w:t>
      </w:r>
      <w:r>
        <w:rPr>
          <w:rFonts w:hint="eastAsia" w:ascii="Times New Roman" w:hAnsi="Times New Roman" w:eastAsia="仿宋_GB2312" w:cs="Times New Roman"/>
          <w:bCs/>
          <w:color w:val="auto"/>
          <w:sz w:val="32"/>
          <w:szCs w:val="32"/>
          <w:highlight w:val="none"/>
          <w:lang w:val="en-US" w:eastAsia="zh-CN"/>
        </w:rPr>
        <w:t>向</w:t>
      </w:r>
      <w:r>
        <w:rPr>
          <w:rFonts w:ascii="Times New Roman" w:hAnsi="Times New Roman" w:eastAsia="仿宋_GB2312" w:cs="Times New Roman"/>
          <w:bCs/>
          <w:color w:val="auto"/>
          <w:sz w:val="32"/>
          <w:szCs w:val="32"/>
          <w:highlight w:val="none"/>
        </w:rPr>
        <w:t>响应主体</w:t>
      </w:r>
      <w:r>
        <w:rPr>
          <w:rFonts w:hint="eastAsia" w:ascii="Times New Roman" w:hAnsi="Times New Roman" w:eastAsia="仿宋_GB2312" w:cs="Times New Roman"/>
          <w:bCs/>
          <w:color w:val="auto"/>
          <w:sz w:val="32"/>
          <w:szCs w:val="32"/>
          <w:highlight w:val="none"/>
          <w:lang w:val="en-US" w:eastAsia="zh-CN"/>
        </w:rPr>
        <w:t>拨付</w:t>
      </w:r>
      <w:r>
        <w:rPr>
          <w:rFonts w:ascii="Times New Roman" w:hAnsi="Times New Roman" w:eastAsia="仿宋_GB2312" w:cs="Times New Roman"/>
          <w:bCs/>
          <w:color w:val="auto"/>
          <w:sz w:val="32"/>
          <w:szCs w:val="32"/>
          <w:highlight w:val="none"/>
        </w:rPr>
        <w:t>补贴资金。</w:t>
      </w:r>
      <w:r>
        <w:rPr>
          <w:rFonts w:hint="eastAsia" w:ascii="Times New Roman" w:hAnsi="Times New Roman" w:eastAsia="仿宋_GB2312" w:cs="Times New Roman"/>
          <w:bCs/>
          <w:color w:val="auto"/>
          <w:sz w:val="32"/>
          <w:szCs w:val="32"/>
          <w:highlight w:val="none"/>
          <w:lang w:val="en-US" w:eastAsia="zh-CN"/>
        </w:rPr>
        <w:t>补贴资金</w:t>
      </w:r>
      <w:r>
        <w:rPr>
          <w:rFonts w:ascii="Times New Roman" w:hAnsi="Times New Roman" w:eastAsia="仿宋_GB2312" w:cs="Times New Roman"/>
          <w:bCs/>
          <w:color w:val="auto"/>
          <w:sz w:val="32"/>
          <w:szCs w:val="32"/>
          <w:highlight w:val="none"/>
        </w:rPr>
        <w:t>采用公对公转账支付，并将结算明细报管理中心备案。虚拟电厂运营商应在中国南方电网供应链统一服务平台</w:t>
      </w:r>
      <w:r>
        <w:rPr>
          <w:rFonts w:hint="eastAsia" w:ascii="Times New Roman" w:hAnsi="Times New Roman" w:eastAsia="仿宋_GB2312" w:cs="Times New Roman"/>
          <w:bCs/>
          <w:color w:val="auto"/>
          <w:sz w:val="32"/>
          <w:szCs w:val="32"/>
          <w:highlight w:val="none"/>
          <w:lang w:val="en-US" w:eastAsia="zh-CN"/>
        </w:rPr>
        <w:t>注册，并确保</w:t>
      </w:r>
      <w:r>
        <w:rPr>
          <w:rFonts w:ascii="Times New Roman" w:hAnsi="Times New Roman" w:eastAsia="仿宋_GB2312" w:cs="Times New Roman"/>
          <w:bCs/>
          <w:color w:val="auto"/>
          <w:sz w:val="32"/>
          <w:szCs w:val="32"/>
          <w:highlight w:val="none"/>
        </w:rPr>
        <w:t>银行卡账户、银行名称、单位名称等相关信息完整、真实、有效。</w:t>
      </w:r>
    </w:p>
    <w:p w14:paraId="2155B41B">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补贴资金监督</w:t>
      </w:r>
      <w:r>
        <w:rPr>
          <w:rFonts w:ascii="Times New Roman" w:hAnsi="Times New Roman" w:eastAsia="仿宋_GB2312" w:cs="Times New Roman"/>
          <w:bCs/>
          <w:color w:val="auto"/>
          <w:sz w:val="32"/>
          <w:szCs w:val="32"/>
          <w:highlight w:val="none"/>
        </w:rPr>
        <w:t>]</w:t>
      </w:r>
      <w:r>
        <w:rPr>
          <w:rFonts w:hint="default" w:ascii="Times New Roman" w:hAnsi="Times New Roman" w:eastAsia="仿宋_GB2312" w:cs="Times New Roman"/>
          <w:bCs/>
          <w:color w:val="auto"/>
          <w:sz w:val="32"/>
          <w:szCs w:val="32"/>
          <w:highlight w:val="none"/>
        </w:rPr>
        <w:t>加强资金监督管理，保证资金的专款专用，任何单位和个人不得截留、挪用资金。</w:t>
      </w:r>
    </w:p>
    <w:p w14:paraId="1D93F4A6">
      <w:pPr>
        <w:pStyle w:val="33"/>
        <w:numPr>
          <w:ilvl w:val="0"/>
          <w:numId w:val="0"/>
        </w:numPr>
        <w:tabs>
          <w:tab w:val="left" w:pos="6720"/>
        </w:tabs>
        <w:spacing w:line="560" w:lineRule="exact"/>
        <w:ind w:left="479" w:leftChars="228"/>
        <w:rPr>
          <w:rFonts w:hint="default" w:ascii="Times New Roman" w:hAnsi="Times New Roman" w:eastAsia="仿宋_GB2312" w:cs="Times New Roman"/>
          <w:bCs/>
          <w:color w:val="auto"/>
          <w:sz w:val="32"/>
          <w:szCs w:val="32"/>
          <w:highlight w:val="none"/>
        </w:rPr>
      </w:pPr>
    </w:p>
    <w:p w14:paraId="2ED48130">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监督管理</w:t>
      </w:r>
    </w:p>
    <w:p w14:paraId="268FA87D">
      <w:pPr>
        <w:pStyle w:val="33"/>
        <w:numPr>
          <w:ilvl w:val="0"/>
          <w:numId w:val="5"/>
        </w:numPr>
        <w:tabs>
          <w:tab w:val="left" w:pos="6720"/>
        </w:tabs>
        <w:spacing w:line="560" w:lineRule="exact"/>
        <w:ind w:firstLine="729" w:firstLineChars="228"/>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Cs/>
          <w:color w:val="auto"/>
          <w:sz w:val="32"/>
          <w:szCs w:val="32"/>
          <w:highlight w:val="none"/>
        </w:rPr>
        <w:t>[监督原则]</w:t>
      </w:r>
      <w:r>
        <w:rPr>
          <w:rFonts w:hint="default" w:ascii="Times New Roman" w:hAnsi="Times New Roman" w:eastAsia="仿宋_GB2312" w:cs="Times New Roman"/>
          <w:color w:val="auto"/>
          <w:sz w:val="32"/>
          <w:szCs w:val="32"/>
          <w:highlight w:val="none"/>
        </w:rPr>
        <w:t>按照</w:t>
      </w:r>
      <w:r>
        <w:rPr>
          <w:rFonts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谁运营、谁</w:t>
      </w:r>
      <w:r>
        <w:rPr>
          <w:rFonts w:hint="eastAsia" w:ascii="Times New Roman" w:hAnsi="Times New Roman" w:eastAsia="仿宋_GB2312" w:cs="Times New Roman"/>
          <w:color w:val="auto"/>
          <w:sz w:val="32"/>
          <w:szCs w:val="32"/>
          <w:highlight w:val="none"/>
          <w:lang w:val="en-US" w:eastAsia="zh-CN"/>
        </w:rPr>
        <w:t>负责</w:t>
      </w:r>
      <w:r>
        <w:rPr>
          <w:rFonts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的原则，管理中心</w:t>
      </w:r>
      <w:r>
        <w:rPr>
          <w:rFonts w:ascii="Times New Roman" w:hAnsi="Times New Roman" w:eastAsia="仿宋_GB2312" w:cs="Times New Roman"/>
          <w:color w:val="auto"/>
          <w:sz w:val="32"/>
          <w:szCs w:val="32"/>
          <w:highlight w:val="none"/>
        </w:rPr>
        <w:t>根据广州</w:t>
      </w:r>
      <w:r>
        <w:rPr>
          <w:rFonts w:hint="default" w:ascii="Times New Roman" w:hAnsi="Times New Roman" w:eastAsia="仿宋_GB2312" w:cs="Times New Roman"/>
          <w:color w:val="auto"/>
          <w:sz w:val="32"/>
          <w:szCs w:val="32"/>
          <w:highlight w:val="none"/>
        </w:rPr>
        <w:t>市有关规定履行运营检测和风险防控职责，及时识别、预警和处置各类风险。</w:t>
      </w:r>
    </w:p>
    <w:p w14:paraId="6476808F">
      <w:pPr>
        <w:pStyle w:val="33"/>
        <w:numPr>
          <w:ilvl w:val="0"/>
          <w:numId w:val="5"/>
        </w:numPr>
        <w:tabs>
          <w:tab w:val="left" w:pos="6720"/>
        </w:tabs>
        <w:spacing w:line="560" w:lineRule="exact"/>
        <w:ind w:firstLine="729" w:firstLineChars="228"/>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Cs/>
          <w:color w:val="auto"/>
          <w:sz w:val="32"/>
          <w:szCs w:val="32"/>
          <w:highlight w:val="none"/>
        </w:rPr>
        <w:t>[异常行为]</w:t>
      </w:r>
      <w:r>
        <w:rPr>
          <w:rFonts w:hint="default" w:ascii="Times New Roman" w:hAnsi="Times New Roman" w:eastAsia="仿宋_GB2312" w:cs="Times New Roman"/>
          <w:color w:val="auto"/>
          <w:sz w:val="32"/>
          <w:szCs w:val="32"/>
          <w:highlight w:val="none"/>
        </w:rPr>
        <w:t>对于</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color w:val="auto"/>
          <w:sz w:val="32"/>
          <w:szCs w:val="32"/>
          <w:highlight w:val="none"/>
        </w:rPr>
        <w:t>在</w:t>
      </w:r>
      <w:r>
        <w:rPr>
          <w:rFonts w:ascii="Times New Roman" w:hAnsi="Times New Roman" w:eastAsia="仿宋_GB2312" w:cs="Times New Roman"/>
          <w:color w:val="auto"/>
          <w:sz w:val="32"/>
          <w:szCs w:val="32"/>
          <w:highlight w:val="none"/>
        </w:rPr>
        <w:t>响应执行中</w:t>
      </w:r>
      <w:r>
        <w:rPr>
          <w:rFonts w:hint="default" w:ascii="Times New Roman" w:hAnsi="Times New Roman" w:eastAsia="仿宋_GB2312" w:cs="Times New Roman"/>
          <w:color w:val="auto"/>
          <w:sz w:val="32"/>
          <w:szCs w:val="32"/>
          <w:highlight w:val="none"/>
        </w:rPr>
        <w:t>的异常或可能干扰响应秩序、造成运行风险的行为，管理中心可采取电话提醒、要求报告情况、要求提交书面承诺，以及公开风险提示或风险警示和其他临时紧急处理措施。</w:t>
      </w:r>
    </w:p>
    <w:p w14:paraId="40159E0F">
      <w:pPr>
        <w:pStyle w:val="33"/>
        <w:numPr>
          <w:ilvl w:val="0"/>
          <w:numId w:val="0"/>
        </w:numPr>
        <w:tabs>
          <w:tab w:val="left" w:pos="6720"/>
        </w:tabs>
        <w:spacing w:line="560" w:lineRule="exact"/>
        <w:ind w:left="479" w:leftChars="228"/>
        <w:rPr>
          <w:rFonts w:hint="default" w:ascii="Times New Roman" w:hAnsi="Times New Roman" w:eastAsia="仿宋_GB2312" w:cs="Times New Roman"/>
          <w:color w:val="auto"/>
          <w:sz w:val="32"/>
          <w:szCs w:val="32"/>
          <w:highlight w:val="none"/>
        </w:rPr>
      </w:pPr>
    </w:p>
    <w:p w14:paraId="446F0AA7">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分析评估</w:t>
      </w:r>
    </w:p>
    <w:p w14:paraId="036B0E9D">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[分析评估]管理中心应定期评估本管理办法执行情况，提出</w:t>
      </w:r>
      <w:r>
        <w:rPr>
          <w:rFonts w:ascii="Times New Roman" w:hAnsi="Times New Roman" w:eastAsia="仿宋_GB2312" w:cs="Times New Roman"/>
          <w:bCs/>
          <w:color w:val="auto"/>
          <w:sz w:val="32"/>
          <w:szCs w:val="32"/>
          <w:highlight w:val="none"/>
        </w:rPr>
        <w:t>虚拟电厂运营</w:t>
      </w:r>
      <w:r>
        <w:rPr>
          <w:rFonts w:hint="default" w:ascii="Times New Roman" w:hAnsi="Times New Roman" w:eastAsia="仿宋_GB2312" w:cs="Times New Roman"/>
          <w:bCs/>
          <w:color w:val="auto"/>
          <w:sz w:val="32"/>
          <w:szCs w:val="32"/>
          <w:highlight w:val="none"/>
        </w:rPr>
        <w:t>组织、结算及相关条款的调整建议，并向</w:t>
      </w:r>
      <w:r>
        <w:rPr>
          <w:rFonts w:hint="eastAsia" w:ascii="Times New Roman" w:hAnsi="Times New Roman" w:eastAsia="仿宋_GB2312" w:cs="Times New Roman"/>
          <w:bCs/>
          <w:color w:val="auto"/>
          <w:sz w:val="32"/>
          <w:szCs w:val="32"/>
          <w:highlight w:val="none"/>
          <w:lang w:val="en-US" w:eastAsia="zh-CN"/>
        </w:rPr>
        <w:t>广州</w:t>
      </w:r>
      <w:r>
        <w:rPr>
          <w:rFonts w:ascii="Times New Roman" w:hAnsi="Times New Roman" w:eastAsia="仿宋_GB2312" w:cs="Times New Roman"/>
          <w:bCs/>
          <w:color w:val="auto"/>
          <w:sz w:val="32"/>
          <w:szCs w:val="32"/>
          <w:highlight w:val="none"/>
        </w:rPr>
        <w:t>市工业和信息化局</w:t>
      </w:r>
      <w:r>
        <w:rPr>
          <w:rFonts w:hint="default" w:ascii="Times New Roman" w:hAnsi="Times New Roman" w:eastAsia="仿宋_GB2312" w:cs="Times New Roman"/>
          <w:bCs/>
          <w:color w:val="auto"/>
          <w:sz w:val="32"/>
          <w:szCs w:val="32"/>
          <w:highlight w:val="none"/>
        </w:rPr>
        <w:t>提交相关报告和建议。</w:t>
      </w:r>
    </w:p>
    <w:p w14:paraId="26B49479">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[评估原则]</w:t>
      </w:r>
      <w:r>
        <w:rPr>
          <w:rFonts w:ascii="Times New Roman" w:hAnsi="Times New Roman" w:eastAsia="仿宋_GB2312" w:cs="Times New Roman"/>
          <w:bCs/>
          <w:color w:val="auto"/>
          <w:sz w:val="32"/>
          <w:szCs w:val="32"/>
          <w:highlight w:val="none"/>
        </w:rPr>
        <w:t>虚拟电厂</w:t>
      </w:r>
      <w:r>
        <w:rPr>
          <w:rFonts w:hint="eastAsia" w:ascii="Times New Roman" w:hAnsi="Times New Roman" w:eastAsia="仿宋_GB2312" w:cs="Times New Roman"/>
          <w:bCs/>
          <w:color w:val="auto"/>
          <w:sz w:val="32"/>
          <w:szCs w:val="32"/>
          <w:highlight w:val="none"/>
          <w:lang w:eastAsia="zh-CN"/>
        </w:rPr>
        <w:t>有功响应</w:t>
      </w:r>
      <w:r>
        <w:rPr>
          <w:rFonts w:hint="default" w:ascii="Times New Roman" w:hAnsi="Times New Roman" w:eastAsia="仿宋_GB2312" w:cs="Times New Roman"/>
          <w:bCs/>
          <w:color w:val="auto"/>
          <w:sz w:val="32"/>
          <w:szCs w:val="32"/>
          <w:highlight w:val="none"/>
        </w:rPr>
        <w:t>分析评估应遵循客观、公正、准确的原则，对</w:t>
      </w:r>
      <w:r>
        <w:rPr>
          <w:rFonts w:ascii="Times New Roman" w:hAnsi="Times New Roman" w:eastAsia="仿宋_GB2312" w:cs="Times New Roman"/>
          <w:bCs/>
          <w:color w:val="auto"/>
          <w:sz w:val="32"/>
          <w:szCs w:val="32"/>
          <w:highlight w:val="none"/>
        </w:rPr>
        <w:t>准入</w:t>
      </w:r>
      <w:r>
        <w:rPr>
          <w:rFonts w:hint="default" w:ascii="Times New Roman" w:hAnsi="Times New Roman" w:eastAsia="仿宋_GB2312" w:cs="Times New Roman"/>
          <w:bCs/>
          <w:color w:val="auto"/>
          <w:sz w:val="32"/>
          <w:szCs w:val="32"/>
          <w:highlight w:val="none"/>
        </w:rPr>
        <w:t>、组织、结算等情况进行分析，编制形成分析评估报告，按照信息披露相关要求发布。</w:t>
      </w:r>
    </w:p>
    <w:p w14:paraId="0BBDC705">
      <w:pPr>
        <w:pStyle w:val="33"/>
        <w:numPr>
          <w:ilvl w:val="0"/>
          <w:numId w:val="0"/>
        </w:numPr>
        <w:tabs>
          <w:tab w:val="left" w:pos="6720"/>
        </w:tabs>
        <w:spacing w:line="560" w:lineRule="exact"/>
        <w:ind w:left="479" w:leftChars="228"/>
        <w:rPr>
          <w:rFonts w:hint="default" w:ascii="Times New Roman" w:hAnsi="Times New Roman" w:eastAsia="仿宋_GB2312" w:cs="Times New Roman"/>
          <w:bCs/>
          <w:color w:val="auto"/>
          <w:sz w:val="32"/>
          <w:szCs w:val="32"/>
          <w:highlight w:val="none"/>
        </w:rPr>
      </w:pPr>
    </w:p>
    <w:p w14:paraId="62818564">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应急处理</w:t>
      </w:r>
    </w:p>
    <w:p w14:paraId="67282F12">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bookmarkStart w:id="12" w:name="OLE_LINK1"/>
      <w:r>
        <w:rPr>
          <w:rFonts w:hint="default" w:ascii="Times New Roman" w:hAnsi="Times New Roman" w:eastAsia="仿宋_GB2312" w:cs="Times New Roman"/>
          <w:bCs/>
          <w:color w:val="auto"/>
          <w:sz w:val="32"/>
          <w:szCs w:val="32"/>
          <w:highlight w:val="none"/>
        </w:rPr>
        <w:t>[应急处置]管理中心应定期组织开展突发事件培训宣传工作，提升突发事件应急能力。</w:t>
      </w:r>
    </w:p>
    <w:bookmarkEnd w:id="12"/>
    <w:p w14:paraId="79729962">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[故障处置]虚拟电厂管理平台发生故障后，管理中心应以优先恢复业务为目标，按照现场处置方案开展系统故障应急响应和处理。</w:t>
      </w:r>
    </w:p>
    <w:p w14:paraId="224B3184">
      <w:pPr>
        <w:pStyle w:val="33"/>
        <w:numPr>
          <w:ilvl w:val="0"/>
          <w:numId w:val="5"/>
        </w:numPr>
        <w:tabs>
          <w:tab w:val="left" w:pos="6720"/>
        </w:tabs>
        <w:spacing w:line="560" w:lineRule="exact"/>
        <w:ind w:firstLine="729" w:firstLineChars="228"/>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Cs/>
          <w:color w:val="auto"/>
          <w:sz w:val="32"/>
          <w:szCs w:val="32"/>
          <w:highlight w:val="none"/>
        </w:rPr>
        <w:t>[应急</w:t>
      </w:r>
      <w:r>
        <w:rPr>
          <w:rFonts w:hint="eastAsia" w:ascii="Times New Roman" w:hAnsi="Times New Roman" w:eastAsia="仿宋_GB2312" w:cs="Times New Roman"/>
          <w:bCs/>
          <w:color w:val="auto"/>
          <w:sz w:val="32"/>
          <w:szCs w:val="32"/>
          <w:highlight w:val="none"/>
          <w:lang w:val="en-US" w:eastAsia="zh-CN"/>
        </w:rPr>
        <w:t>预案</w:t>
      </w:r>
      <w:r>
        <w:rPr>
          <w:rFonts w:hint="default" w:ascii="Times New Roman" w:hAnsi="Times New Roman" w:eastAsia="仿宋_GB2312" w:cs="Times New Roman"/>
          <w:bCs/>
          <w:color w:val="auto"/>
          <w:sz w:val="32"/>
          <w:szCs w:val="32"/>
          <w:highlight w:val="none"/>
        </w:rPr>
        <w:t>]管理中心</w:t>
      </w:r>
      <w:r>
        <w:rPr>
          <w:rFonts w:hint="default" w:ascii="Times New Roman" w:hAnsi="Times New Roman" w:eastAsia="仿宋_GB2312" w:cs="Times New Roman"/>
          <w:color w:val="auto"/>
          <w:sz w:val="32"/>
          <w:szCs w:val="32"/>
          <w:highlight w:val="none"/>
        </w:rPr>
        <w:t>制定网络</w:t>
      </w:r>
      <w:r>
        <w:rPr>
          <w:rFonts w:hint="default" w:ascii="Times New Roman" w:hAnsi="Times New Roman" w:eastAsia="仿宋_GB2312" w:cs="Times New Roman"/>
          <w:bCs/>
          <w:color w:val="auto"/>
          <w:sz w:val="32"/>
          <w:szCs w:val="32"/>
          <w:highlight w:val="none"/>
        </w:rPr>
        <w:t>安全</w:t>
      </w:r>
      <w:r>
        <w:rPr>
          <w:rFonts w:hint="default" w:ascii="Times New Roman" w:hAnsi="Times New Roman" w:eastAsia="仿宋_GB2312" w:cs="Times New Roman"/>
          <w:color w:val="auto"/>
          <w:sz w:val="32"/>
          <w:szCs w:val="32"/>
          <w:highlight w:val="none"/>
        </w:rPr>
        <w:t>与数据安全事件应急处理预案。在发生危害网络安全或数据安全的突发事件时，立即启动应急预案，并向</w:t>
      </w:r>
      <w:r>
        <w:rPr>
          <w:rFonts w:hint="eastAsia" w:ascii="Times New Roman" w:hAnsi="Times New Roman" w:eastAsia="仿宋_GB2312" w:cs="Times New Roman"/>
          <w:color w:val="auto"/>
          <w:sz w:val="32"/>
          <w:szCs w:val="32"/>
          <w:highlight w:val="none"/>
          <w:lang w:val="en-US" w:eastAsia="zh-CN"/>
        </w:rPr>
        <w:t>广州市工业和信息化局</w:t>
      </w:r>
      <w:r>
        <w:rPr>
          <w:rFonts w:hint="default" w:ascii="Times New Roman" w:hAnsi="Times New Roman" w:eastAsia="仿宋_GB2312" w:cs="Times New Roman"/>
          <w:color w:val="auto"/>
          <w:sz w:val="32"/>
          <w:szCs w:val="32"/>
          <w:highlight w:val="none"/>
        </w:rPr>
        <w:t>报告。</w:t>
      </w:r>
    </w:p>
    <w:p w14:paraId="0C79A907">
      <w:pPr>
        <w:pStyle w:val="33"/>
        <w:numPr>
          <w:ilvl w:val="0"/>
          <w:numId w:val="0"/>
        </w:numPr>
        <w:tabs>
          <w:tab w:val="left" w:pos="6720"/>
        </w:tabs>
        <w:spacing w:line="560" w:lineRule="exact"/>
        <w:ind w:left="479" w:leftChars="228"/>
        <w:rPr>
          <w:rFonts w:hint="default" w:ascii="Times New Roman" w:hAnsi="Times New Roman" w:eastAsia="仿宋_GB2312" w:cs="Times New Roman"/>
          <w:color w:val="auto"/>
          <w:sz w:val="32"/>
          <w:szCs w:val="32"/>
          <w:highlight w:val="none"/>
        </w:rPr>
      </w:pPr>
    </w:p>
    <w:p w14:paraId="56CB472C">
      <w:pPr>
        <w:pStyle w:val="28"/>
        <w:numPr>
          <w:ilvl w:val="0"/>
          <w:numId w:val="4"/>
        </w:numPr>
        <w:adjustRightInd w:val="0"/>
        <w:snapToGrid w:val="0"/>
        <w:spacing w:line="560" w:lineRule="exact"/>
        <w:ind w:firstLineChars="0"/>
        <w:jc w:val="center"/>
        <w:outlineLvl w:val="0"/>
        <w:rPr>
          <w:rFonts w:ascii="Times New Roman" w:hAnsi="Times New Roman" w:eastAsia="黑体" w:cs="Times New Roman"/>
          <w:b w:val="0"/>
          <w:bCs/>
          <w:color w:val="auto"/>
          <w:sz w:val="32"/>
          <w:szCs w:val="32"/>
          <w:highlight w:val="none"/>
        </w:rPr>
      </w:pPr>
      <w:r>
        <w:rPr>
          <w:rFonts w:ascii="Times New Roman" w:hAnsi="Times New Roman" w:eastAsia="黑体" w:cs="Times New Roman"/>
          <w:b w:val="0"/>
          <w:bCs/>
          <w:color w:val="auto"/>
          <w:sz w:val="32"/>
          <w:szCs w:val="32"/>
          <w:highlight w:val="none"/>
        </w:rPr>
        <w:t>争议处理</w:t>
      </w:r>
    </w:p>
    <w:p w14:paraId="7FF9CB83">
      <w:pPr>
        <w:pStyle w:val="33"/>
        <w:numPr>
          <w:ilvl w:val="0"/>
          <w:numId w:val="5"/>
        </w:numPr>
        <w:tabs>
          <w:tab w:val="left" w:pos="6720"/>
        </w:tabs>
        <w:spacing w:line="560" w:lineRule="exact"/>
        <w:ind w:firstLine="729" w:firstLineChars="228"/>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[处置原则]管理中心基于法律法规、管理办法对</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bCs/>
          <w:color w:val="auto"/>
          <w:sz w:val="32"/>
          <w:szCs w:val="32"/>
          <w:highlight w:val="none"/>
        </w:rPr>
        <w:t>的争议进行协调处理，协调无法解决的，</w:t>
      </w:r>
      <w:r>
        <w:rPr>
          <w:rFonts w:ascii="Times New Roman" w:hAnsi="Times New Roman" w:eastAsia="仿宋_GB2312" w:cs="Times New Roman"/>
          <w:bCs/>
          <w:color w:val="auto"/>
          <w:sz w:val="32"/>
          <w:szCs w:val="32"/>
          <w:highlight w:val="none"/>
        </w:rPr>
        <w:t>响应主体</w:t>
      </w:r>
      <w:r>
        <w:rPr>
          <w:rFonts w:hint="default" w:ascii="Times New Roman" w:hAnsi="Times New Roman" w:eastAsia="仿宋_GB2312" w:cs="Times New Roman"/>
          <w:bCs/>
          <w:color w:val="auto"/>
          <w:sz w:val="32"/>
          <w:szCs w:val="32"/>
          <w:highlight w:val="none"/>
        </w:rPr>
        <w:t>可</w:t>
      </w:r>
      <w:r>
        <w:rPr>
          <w:rFonts w:ascii="Times New Roman" w:hAnsi="Times New Roman" w:eastAsia="仿宋_GB2312" w:cs="Times New Roman"/>
          <w:bCs/>
          <w:color w:val="auto"/>
          <w:sz w:val="32"/>
          <w:szCs w:val="32"/>
          <w:highlight w:val="none"/>
        </w:rPr>
        <w:t>自行</w:t>
      </w:r>
      <w:r>
        <w:rPr>
          <w:rFonts w:hint="default" w:ascii="Times New Roman" w:hAnsi="Times New Roman" w:eastAsia="仿宋_GB2312" w:cs="Times New Roman"/>
          <w:bCs/>
          <w:color w:val="auto"/>
          <w:sz w:val="32"/>
          <w:szCs w:val="32"/>
          <w:highlight w:val="none"/>
        </w:rPr>
        <w:t>通过法律途径解决。</w:t>
      </w:r>
    </w:p>
    <w:p w14:paraId="318862C3">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hint="default" w:ascii="Times New Roman" w:hAnsi="Times New Roman" w:eastAsia="仿宋_GB2312" w:cs="Times New Roman"/>
          <w:bCs/>
          <w:color w:val="auto"/>
          <w:sz w:val="32"/>
          <w:szCs w:val="32"/>
          <w:highlight w:val="none"/>
        </w:rPr>
        <w:t>[协商公告]管理中心有权以维护虚拟电厂</w:t>
      </w:r>
      <w:r>
        <w:rPr>
          <w:rFonts w:ascii="Times New Roman" w:hAnsi="Times New Roman" w:eastAsia="仿宋_GB2312" w:cs="Times New Roman"/>
          <w:bCs/>
          <w:color w:val="auto"/>
          <w:sz w:val="32"/>
          <w:szCs w:val="32"/>
          <w:highlight w:val="none"/>
        </w:rPr>
        <w:t>响应组织</w:t>
      </w:r>
      <w:r>
        <w:rPr>
          <w:rFonts w:hint="default" w:ascii="Times New Roman" w:hAnsi="Times New Roman" w:eastAsia="仿宋_GB2312" w:cs="Times New Roman"/>
          <w:bCs/>
          <w:color w:val="auto"/>
          <w:sz w:val="32"/>
          <w:szCs w:val="32"/>
          <w:highlight w:val="none"/>
        </w:rPr>
        <w:t>秩序为目标，随时更新本</w:t>
      </w:r>
      <w:r>
        <w:rPr>
          <w:rFonts w:ascii="Times New Roman" w:hAnsi="Times New Roman" w:eastAsia="仿宋_GB2312" w:cs="Times New Roman"/>
          <w:bCs/>
          <w:color w:val="auto"/>
          <w:sz w:val="32"/>
          <w:szCs w:val="32"/>
          <w:highlight w:val="none"/>
        </w:rPr>
        <w:t>运营管理办法</w:t>
      </w:r>
      <w:r>
        <w:rPr>
          <w:rFonts w:hint="default" w:ascii="Times New Roman" w:hAnsi="Times New Roman" w:eastAsia="仿宋_GB2312" w:cs="Times New Roman"/>
          <w:bCs/>
          <w:color w:val="auto"/>
          <w:sz w:val="32"/>
          <w:szCs w:val="32"/>
          <w:highlight w:val="none"/>
        </w:rPr>
        <w:t>并予以公告。</w:t>
      </w:r>
    </w:p>
    <w:p w14:paraId="784B0C2C">
      <w:pPr>
        <w:pStyle w:val="33"/>
        <w:numPr>
          <w:ilvl w:val="0"/>
          <w:numId w:val="5"/>
        </w:numPr>
        <w:tabs>
          <w:tab w:val="left" w:pos="6720"/>
        </w:tabs>
        <w:spacing w:line="560" w:lineRule="exact"/>
        <w:ind w:firstLine="729" w:firstLineChars="228"/>
        <w:rPr>
          <w:rFonts w:hint="default" w:ascii="Times New Roman" w:hAnsi="Times New Roman" w:eastAsia="黑体" w:cs="Times New Roman"/>
          <w:b/>
          <w:color w:val="auto"/>
          <w:sz w:val="32"/>
          <w:szCs w:val="32"/>
          <w:highlight w:val="none"/>
        </w:rPr>
      </w:pPr>
      <w:r>
        <w:rPr>
          <w:rFonts w:hint="default" w:ascii="Times New Roman" w:hAnsi="Times New Roman" w:eastAsia="仿宋_GB2312" w:cs="Times New Roman"/>
          <w:bCs/>
          <w:color w:val="auto"/>
          <w:sz w:val="32"/>
          <w:szCs w:val="32"/>
          <w:highlight w:val="none"/>
        </w:rPr>
        <w:t>[</w:t>
      </w:r>
      <w:r>
        <w:rPr>
          <w:rFonts w:ascii="Times New Roman" w:hAnsi="Times New Roman" w:eastAsia="仿宋_GB2312" w:cs="Times New Roman"/>
          <w:bCs/>
          <w:color w:val="auto"/>
          <w:sz w:val="32"/>
          <w:szCs w:val="32"/>
          <w:highlight w:val="none"/>
        </w:rPr>
        <w:t>争议解释</w:t>
      </w:r>
      <w:r>
        <w:rPr>
          <w:rFonts w:hint="default" w:ascii="Times New Roman" w:hAnsi="Times New Roman" w:eastAsia="仿宋_GB2312" w:cs="Times New Roman"/>
          <w:bCs/>
          <w:color w:val="auto"/>
          <w:sz w:val="32"/>
          <w:szCs w:val="32"/>
          <w:highlight w:val="none"/>
        </w:rPr>
        <w:t>]本</w:t>
      </w:r>
      <w:r>
        <w:rPr>
          <w:rFonts w:hint="eastAsia" w:ascii="Times New Roman" w:hAnsi="Times New Roman" w:eastAsia="仿宋_GB2312" w:cs="Times New Roman"/>
          <w:bCs/>
          <w:color w:val="auto"/>
          <w:sz w:val="32"/>
          <w:szCs w:val="32"/>
          <w:highlight w:val="none"/>
          <w:lang w:val="en-US" w:eastAsia="zh-CN"/>
        </w:rPr>
        <w:t>办法</w:t>
      </w:r>
      <w:r>
        <w:rPr>
          <w:rFonts w:ascii="Times New Roman" w:hAnsi="Times New Roman" w:eastAsia="仿宋_GB2312" w:cs="Times New Roman"/>
          <w:bCs/>
          <w:color w:val="auto"/>
          <w:sz w:val="32"/>
          <w:szCs w:val="32"/>
          <w:highlight w:val="none"/>
        </w:rPr>
        <w:t>最终解释权归管理中心所有</w:t>
      </w:r>
      <w:r>
        <w:rPr>
          <w:rFonts w:hint="default" w:ascii="Times New Roman" w:hAnsi="Times New Roman" w:eastAsia="仿宋_GB2312" w:cs="Times New Roman"/>
          <w:bCs/>
          <w:color w:val="auto"/>
          <w:sz w:val="32"/>
          <w:szCs w:val="32"/>
          <w:highlight w:val="none"/>
        </w:rPr>
        <w:t>。</w:t>
      </w:r>
    </w:p>
    <w:p w14:paraId="590F996F">
      <w:pPr>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br w:type="page"/>
      </w:r>
    </w:p>
    <w:p w14:paraId="4D7F2AEA">
      <w:pPr>
        <w:pStyle w:val="28"/>
        <w:tabs>
          <w:tab w:val="left" w:pos="0"/>
        </w:tabs>
        <w:adjustRightInd w:val="0"/>
        <w:snapToGrid w:val="0"/>
        <w:spacing w:line="560" w:lineRule="exact"/>
        <w:ind w:firstLine="0" w:firstLineChars="0"/>
        <w:jc w:val="both"/>
        <w:outlineLvl w:val="0"/>
        <w:rPr>
          <w:rFonts w:hint="eastAsia" w:ascii="黑体" w:hAnsi="黑体" w:eastAsia="黑体" w:cs="黑体"/>
          <w:b w:val="0"/>
          <w:bCs/>
          <w:sz w:val="32"/>
          <w:szCs w:val="32"/>
        </w:rPr>
      </w:pPr>
      <w:r>
        <w:rPr>
          <w:rFonts w:hint="eastAsia" w:ascii="黑体" w:hAnsi="黑体" w:eastAsia="黑体" w:cs="黑体"/>
          <w:b w:val="0"/>
          <w:bCs/>
          <w:sz w:val="32"/>
          <w:szCs w:val="32"/>
        </w:rPr>
        <w:t xml:space="preserve">附录1 </w:t>
      </w:r>
    </w:p>
    <w:p w14:paraId="1006B964">
      <w:pPr>
        <w:pStyle w:val="33"/>
        <w:tabs>
          <w:tab w:val="left" w:pos="6720"/>
        </w:tabs>
        <w:spacing w:line="560" w:lineRule="exact"/>
        <w:ind w:firstLine="0" w:firstLineChars="0"/>
        <w:jc w:val="center"/>
        <w:outlineLvl w:val="1"/>
        <w:rPr>
          <w:rFonts w:ascii="Times New Roman" w:hAnsi="Times New Roman" w:eastAsia="黑体" w:cs="Times New Roman"/>
          <w:b w:val="0"/>
          <w:bCs/>
          <w:sz w:val="32"/>
          <w:szCs w:val="32"/>
        </w:rPr>
      </w:pPr>
    </w:p>
    <w:p w14:paraId="4146171D">
      <w:pPr>
        <w:pStyle w:val="33"/>
        <w:tabs>
          <w:tab w:val="left" w:pos="6720"/>
        </w:tabs>
        <w:spacing w:line="560" w:lineRule="exact"/>
        <w:ind w:firstLine="0" w:firstLineChars="0"/>
        <w:jc w:val="center"/>
        <w:outlineLvl w:val="1"/>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材料清单</w:t>
      </w:r>
    </w:p>
    <w:tbl>
      <w:tblPr>
        <w:tblStyle w:val="20"/>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777"/>
        <w:gridCol w:w="6413"/>
      </w:tblGrid>
      <w:tr w14:paraId="22DB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7" w:type="dxa"/>
            <w:shd w:val="clear" w:color="auto" w:fill="auto"/>
            <w:vAlign w:val="center"/>
          </w:tcPr>
          <w:p w14:paraId="7AA68570">
            <w:pPr>
              <w:widowControl/>
              <w:jc w:val="center"/>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申报阶段</w:t>
            </w:r>
          </w:p>
        </w:tc>
        <w:tc>
          <w:tcPr>
            <w:tcW w:w="777" w:type="dxa"/>
            <w:shd w:val="clear" w:color="auto" w:fill="auto"/>
            <w:vAlign w:val="center"/>
          </w:tcPr>
          <w:p w14:paraId="5C8DC833">
            <w:pPr>
              <w:widowControl/>
              <w:jc w:val="center"/>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序号</w:t>
            </w:r>
          </w:p>
        </w:tc>
        <w:tc>
          <w:tcPr>
            <w:tcW w:w="6413" w:type="dxa"/>
            <w:shd w:val="clear" w:color="auto" w:fill="auto"/>
            <w:vAlign w:val="center"/>
          </w:tcPr>
          <w:p w14:paraId="31480E57">
            <w:pPr>
              <w:widowControl/>
              <w:jc w:val="center"/>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资料名称</w:t>
            </w:r>
          </w:p>
        </w:tc>
      </w:tr>
      <w:tr w14:paraId="1EC8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7" w:type="dxa"/>
            <w:vMerge w:val="restart"/>
            <w:shd w:val="clear" w:color="auto" w:fill="auto"/>
            <w:vAlign w:val="center"/>
          </w:tcPr>
          <w:p w14:paraId="0B267E54">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第一阶段：</w:t>
            </w:r>
          </w:p>
          <w:p w14:paraId="6234D0C0">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系统</w:t>
            </w:r>
            <w:r>
              <w:rPr>
                <w:rFonts w:hint="eastAsia" w:ascii="仿宋_GB2312" w:hAnsi="仿宋_GB2312" w:eastAsia="仿宋_GB2312" w:cs="仿宋_GB2312"/>
                <w:color w:val="000000"/>
                <w:kern w:val="0"/>
                <w:sz w:val="24"/>
                <w:szCs w:val="24"/>
                <w:lang w:val="en-US" w:eastAsia="zh-CN"/>
              </w:rPr>
              <w:t>登记</w:t>
            </w:r>
            <w:r>
              <w:rPr>
                <w:rFonts w:hint="eastAsia" w:ascii="仿宋_GB2312" w:hAnsi="仿宋_GB2312" w:eastAsia="仿宋_GB2312" w:cs="仿宋_GB2312"/>
                <w:color w:val="000000"/>
                <w:kern w:val="0"/>
                <w:sz w:val="24"/>
                <w:szCs w:val="24"/>
              </w:rPr>
              <w:t>审核资料</w:t>
            </w:r>
          </w:p>
        </w:tc>
        <w:tc>
          <w:tcPr>
            <w:tcW w:w="777" w:type="dxa"/>
            <w:shd w:val="clear" w:color="auto" w:fill="auto"/>
            <w:vAlign w:val="center"/>
          </w:tcPr>
          <w:p w14:paraId="4225FE6E">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6413" w:type="dxa"/>
            <w:shd w:val="clear" w:color="auto" w:fill="auto"/>
            <w:vAlign w:val="center"/>
          </w:tcPr>
          <w:p w14:paraId="799E1F3A">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营业执照（副本）或多合一营业执照</w:t>
            </w:r>
          </w:p>
        </w:tc>
      </w:tr>
      <w:tr w14:paraId="2D97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7" w:type="dxa"/>
            <w:vMerge w:val="continue"/>
            <w:shd w:val="clear" w:color="auto" w:fill="auto"/>
            <w:vAlign w:val="center"/>
          </w:tcPr>
          <w:p w14:paraId="5C687C67">
            <w:pPr>
              <w:widowControl/>
              <w:jc w:val="center"/>
              <w:rPr>
                <w:rFonts w:ascii="仿宋_GB2312" w:hAnsi="仿宋_GB2312" w:eastAsia="仿宋_GB2312" w:cs="仿宋_GB2312"/>
                <w:color w:val="000000"/>
                <w:kern w:val="0"/>
                <w:sz w:val="24"/>
                <w:szCs w:val="24"/>
              </w:rPr>
            </w:pPr>
          </w:p>
        </w:tc>
        <w:tc>
          <w:tcPr>
            <w:tcW w:w="777" w:type="dxa"/>
            <w:shd w:val="clear" w:color="auto" w:fill="auto"/>
            <w:vAlign w:val="center"/>
          </w:tcPr>
          <w:p w14:paraId="114E9FD0">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6413" w:type="dxa"/>
            <w:shd w:val="clear" w:color="auto" w:fill="auto"/>
            <w:vAlign w:val="center"/>
          </w:tcPr>
          <w:p w14:paraId="60EA0BED">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银行开户许可证信息</w:t>
            </w:r>
          </w:p>
        </w:tc>
      </w:tr>
      <w:tr w14:paraId="7755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7" w:type="dxa"/>
            <w:vMerge w:val="continue"/>
            <w:shd w:val="clear" w:color="auto" w:fill="auto"/>
            <w:vAlign w:val="center"/>
          </w:tcPr>
          <w:p w14:paraId="5A345D0D">
            <w:pPr>
              <w:widowControl/>
              <w:jc w:val="center"/>
              <w:rPr>
                <w:rFonts w:ascii="仿宋_GB2312" w:hAnsi="仿宋_GB2312" w:eastAsia="仿宋_GB2312" w:cs="仿宋_GB2312"/>
                <w:color w:val="000000"/>
                <w:kern w:val="0"/>
                <w:sz w:val="24"/>
                <w:szCs w:val="24"/>
              </w:rPr>
            </w:pPr>
          </w:p>
        </w:tc>
        <w:tc>
          <w:tcPr>
            <w:tcW w:w="777" w:type="dxa"/>
            <w:shd w:val="clear" w:color="auto" w:fill="auto"/>
            <w:vAlign w:val="center"/>
          </w:tcPr>
          <w:p w14:paraId="3E8D883D">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6413" w:type="dxa"/>
            <w:shd w:val="clear" w:color="auto" w:fill="auto"/>
            <w:vAlign w:val="center"/>
          </w:tcPr>
          <w:p w14:paraId="004E2203">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法定代表人身份证、负责人委托授权书（加盖公章）</w:t>
            </w:r>
          </w:p>
        </w:tc>
      </w:tr>
      <w:tr w14:paraId="6F3E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7" w:type="dxa"/>
            <w:vMerge w:val="continue"/>
            <w:shd w:val="clear" w:color="auto" w:fill="auto"/>
            <w:vAlign w:val="center"/>
          </w:tcPr>
          <w:p w14:paraId="45BC8EED">
            <w:pPr>
              <w:widowControl/>
              <w:jc w:val="center"/>
              <w:rPr>
                <w:rFonts w:ascii="仿宋_GB2312" w:hAnsi="仿宋_GB2312" w:eastAsia="仿宋_GB2312" w:cs="仿宋_GB2312"/>
                <w:color w:val="000000"/>
                <w:kern w:val="0"/>
                <w:sz w:val="24"/>
                <w:szCs w:val="24"/>
              </w:rPr>
            </w:pPr>
          </w:p>
        </w:tc>
        <w:tc>
          <w:tcPr>
            <w:tcW w:w="777" w:type="dxa"/>
            <w:shd w:val="clear" w:color="auto" w:fill="auto"/>
            <w:vAlign w:val="center"/>
          </w:tcPr>
          <w:p w14:paraId="05A08346">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6413" w:type="dxa"/>
            <w:shd w:val="clear" w:color="auto" w:fill="auto"/>
            <w:vAlign w:val="center"/>
          </w:tcPr>
          <w:p w14:paraId="708D4E50">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企业基本情况说明（基本情况、业务模式、代理资源类型、数量、总规模）</w:t>
            </w:r>
          </w:p>
        </w:tc>
      </w:tr>
      <w:tr w14:paraId="3484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7" w:type="dxa"/>
            <w:vMerge w:val="continue"/>
            <w:shd w:val="clear" w:color="auto" w:fill="auto"/>
            <w:vAlign w:val="center"/>
          </w:tcPr>
          <w:p w14:paraId="6FE4119E">
            <w:pPr>
              <w:widowControl/>
              <w:jc w:val="center"/>
              <w:rPr>
                <w:rFonts w:ascii="仿宋_GB2312" w:hAnsi="仿宋_GB2312" w:eastAsia="仿宋_GB2312" w:cs="仿宋_GB2312"/>
                <w:color w:val="000000"/>
                <w:kern w:val="0"/>
                <w:sz w:val="24"/>
                <w:szCs w:val="24"/>
              </w:rPr>
            </w:pPr>
          </w:p>
        </w:tc>
        <w:tc>
          <w:tcPr>
            <w:tcW w:w="777" w:type="dxa"/>
            <w:shd w:val="clear" w:color="auto" w:fill="auto"/>
            <w:vAlign w:val="center"/>
          </w:tcPr>
          <w:p w14:paraId="6D0C0297">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6413" w:type="dxa"/>
            <w:shd w:val="clear" w:color="auto" w:fill="auto"/>
            <w:vAlign w:val="center"/>
          </w:tcPr>
          <w:p w14:paraId="06BCF1A1">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企业经营场所的房产证件或租赁协议（提供公司在广州办公地点的证明材料，含房屋租赁合同或产权证明、办公场所照片）</w:t>
            </w:r>
          </w:p>
        </w:tc>
      </w:tr>
      <w:tr w14:paraId="1E69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7" w:type="dxa"/>
            <w:vMerge w:val="continue"/>
            <w:shd w:val="clear" w:color="auto" w:fill="auto"/>
            <w:vAlign w:val="center"/>
          </w:tcPr>
          <w:p w14:paraId="40A74883">
            <w:pPr>
              <w:widowControl/>
              <w:jc w:val="center"/>
              <w:rPr>
                <w:rFonts w:ascii="仿宋_GB2312" w:hAnsi="仿宋_GB2312" w:eastAsia="仿宋_GB2312" w:cs="仿宋_GB2312"/>
                <w:color w:val="000000"/>
                <w:kern w:val="0"/>
                <w:sz w:val="24"/>
                <w:szCs w:val="24"/>
              </w:rPr>
            </w:pPr>
          </w:p>
        </w:tc>
        <w:tc>
          <w:tcPr>
            <w:tcW w:w="777" w:type="dxa"/>
            <w:shd w:val="clear" w:color="auto" w:fill="auto"/>
            <w:vAlign w:val="center"/>
          </w:tcPr>
          <w:p w14:paraId="58FE6849">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6413" w:type="dxa"/>
            <w:shd w:val="clear" w:color="auto" w:fill="auto"/>
            <w:vAlign w:val="center"/>
          </w:tcPr>
          <w:p w14:paraId="5B92E067">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虚拟电厂运营安全承诺声明（已在广东省相关部门完成注册的虚拟电厂运营商只需将安全承诺书同步至管理中心）</w:t>
            </w:r>
          </w:p>
        </w:tc>
      </w:tr>
      <w:tr w14:paraId="6E99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7" w:type="dxa"/>
            <w:shd w:val="clear" w:color="auto" w:fill="auto"/>
            <w:vAlign w:val="center"/>
          </w:tcPr>
          <w:p w14:paraId="4BFB916A">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第二阶段：</w:t>
            </w:r>
          </w:p>
          <w:p w14:paraId="088E637F">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资料录入</w:t>
            </w:r>
            <w:r>
              <w:rPr>
                <w:rFonts w:ascii="仿宋_GB2312" w:hAnsi="仿宋_GB2312" w:eastAsia="仿宋_GB2312" w:cs="仿宋_GB2312"/>
                <w:color w:val="000000"/>
                <w:kern w:val="0"/>
                <w:sz w:val="24"/>
                <w:szCs w:val="24"/>
              </w:rPr>
              <w:t>审核</w:t>
            </w:r>
          </w:p>
        </w:tc>
        <w:tc>
          <w:tcPr>
            <w:tcW w:w="777" w:type="dxa"/>
            <w:shd w:val="clear" w:color="auto" w:fill="auto"/>
            <w:vAlign w:val="center"/>
          </w:tcPr>
          <w:p w14:paraId="7FCC81D3">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6413" w:type="dxa"/>
            <w:shd w:val="clear" w:color="000000" w:fill="FFFFFF"/>
            <w:vAlign w:val="center"/>
          </w:tcPr>
          <w:p w14:paraId="1F1631D1">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广州市虚拟电厂电力响应服务代理协议</w:t>
            </w:r>
          </w:p>
        </w:tc>
      </w:tr>
      <w:tr w14:paraId="1A5E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7" w:type="dxa"/>
            <w:vMerge w:val="restart"/>
            <w:shd w:val="clear" w:color="auto" w:fill="auto"/>
            <w:vAlign w:val="center"/>
          </w:tcPr>
          <w:p w14:paraId="1008B267">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第三阶段：技术合规资料审核</w:t>
            </w:r>
          </w:p>
        </w:tc>
        <w:tc>
          <w:tcPr>
            <w:tcW w:w="777" w:type="dxa"/>
            <w:shd w:val="clear" w:color="auto" w:fill="auto"/>
            <w:vAlign w:val="center"/>
          </w:tcPr>
          <w:p w14:paraId="65C71A6D">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6413" w:type="dxa"/>
            <w:shd w:val="clear" w:color="000000" w:fill="FFFFFF"/>
            <w:vAlign w:val="center"/>
          </w:tcPr>
          <w:p w14:paraId="3A9B77A2">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等保二级证书（软著、等保证书中的系统名称原则上应保持一致，如不一致需提供加盖公章的承诺书）</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rPr>
              <w:t>若租赁系统，需上传租赁合同，等保二级证书及租赁安全承诺书；</w:t>
            </w:r>
          </w:p>
        </w:tc>
      </w:tr>
      <w:tr w14:paraId="7939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7" w:type="dxa"/>
            <w:vMerge w:val="continue"/>
            <w:shd w:val="clear" w:color="auto" w:fill="auto"/>
            <w:vAlign w:val="center"/>
          </w:tcPr>
          <w:p w14:paraId="494E0943">
            <w:pPr>
              <w:widowControl/>
              <w:jc w:val="center"/>
              <w:rPr>
                <w:rFonts w:ascii="仿宋_GB2312" w:hAnsi="仿宋_GB2312" w:eastAsia="仿宋_GB2312" w:cs="仿宋_GB2312"/>
                <w:color w:val="000000"/>
                <w:kern w:val="0"/>
                <w:sz w:val="24"/>
                <w:szCs w:val="24"/>
              </w:rPr>
            </w:pPr>
          </w:p>
        </w:tc>
        <w:tc>
          <w:tcPr>
            <w:tcW w:w="777" w:type="dxa"/>
            <w:shd w:val="clear" w:color="auto" w:fill="auto"/>
            <w:vAlign w:val="center"/>
          </w:tcPr>
          <w:p w14:paraId="408CFE92">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c>
          <w:tcPr>
            <w:tcW w:w="6413" w:type="dxa"/>
            <w:shd w:val="clear" w:color="000000" w:fill="FFFFFF"/>
            <w:vAlign w:val="center"/>
          </w:tcPr>
          <w:p w14:paraId="0B577EB4">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满足《虚拟电厂接入新型电力负荷管理系统相关技术要求》规定的软硬件检测报告（由具备CNAS/CMA资质（中国合格评定国家认可委员会认可或中国计量认证）或同等资质能力的第三方检测机构出具）</w:t>
            </w:r>
          </w:p>
        </w:tc>
      </w:tr>
      <w:tr w14:paraId="0435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327" w:type="dxa"/>
            <w:vMerge w:val="continue"/>
            <w:shd w:val="clear" w:color="auto" w:fill="auto"/>
            <w:vAlign w:val="center"/>
          </w:tcPr>
          <w:p w14:paraId="2E97E153">
            <w:pPr>
              <w:widowControl/>
              <w:jc w:val="center"/>
              <w:rPr>
                <w:rFonts w:ascii="仿宋_GB2312" w:hAnsi="仿宋_GB2312" w:eastAsia="仿宋_GB2312" w:cs="仿宋_GB2312"/>
                <w:color w:val="000000"/>
                <w:kern w:val="0"/>
                <w:sz w:val="24"/>
                <w:szCs w:val="24"/>
              </w:rPr>
            </w:pPr>
          </w:p>
        </w:tc>
        <w:tc>
          <w:tcPr>
            <w:tcW w:w="777" w:type="dxa"/>
            <w:shd w:val="clear" w:color="auto" w:fill="auto"/>
            <w:vAlign w:val="center"/>
          </w:tcPr>
          <w:p w14:paraId="1C9C3001">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w:t>
            </w:r>
          </w:p>
        </w:tc>
        <w:tc>
          <w:tcPr>
            <w:tcW w:w="6413" w:type="dxa"/>
            <w:shd w:val="clear" w:color="000000" w:fill="FFFFFF"/>
            <w:vAlign w:val="center"/>
          </w:tcPr>
          <w:p w14:paraId="02A16FE7">
            <w:pPr>
              <w:widowControl/>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电力负荷管理协议（已在广东省相关部门完成注册虚拟电厂运营商由省电力负荷管理中心同步）</w:t>
            </w:r>
          </w:p>
        </w:tc>
      </w:tr>
    </w:tbl>
    <w:p w14:paraId="178232E4">
      <w:pPr>
        <w:rPr>
          <w:rFonts w:ascii="Times New Roman" w:hAnsi="Times New Roman" w:eastAsia="黑体" w:cs="Times New Roman"/>
          <w:b/>
          <w:sz w:val="32"/>
          <w:szCs w:val="32"/>
        </w:rPr>
      </w:pPr>
      <w:r>
        <w:rPr>
          <w:rFonts w:ascii="Times New Roman" w:hAnsi="Times New Roman" w:eastAsia="黑体" w:cs="Times New Roman"/>
          <w:b/>
          <w:sz w:val="32"/>
          <w:szCs w:val="32"/>
        </w:rPr>
        <w:br w:type="page"/>
      </w:r>
    </w:p>
    <w:p w14:paraId="3BC441E7">
      <w:pPr>
        <w:pStyle w:val="28"/>
        <w:tabs>
          <w:tab w:val="left" w:pos="0"/>
        </w:tabs>
        <w:adjustRightInd w:val="0"/>
        <w:snapToGrid w:val="0"/>
        <w:spacing w:line="560" w:lineRule="exact"/>
        <w:ind w:firstLine="0" w:firstLineChars="0"/>
        <w:jc w:val="both"/>
        <w:outlineLvl w:val="0"/>
        <w:rPr>
          <w:rFonts w:hint="default" w:ascii="黑体" w:hAnsi="黑体" w:eastAsia="黑体" w:cs="黑体"/>
          <w:b w:val="0"/>
          <w:bCs/>
          <w:sz w:val="32"/>
          <w:szCs w:val="32"/>
        </w:rPr>
      </w:pPr>
      <w:r>
        <w:rPr>
          <w:rFonts w:hint="eastAsia" w:ascii="黑体" w:hAnsi="黑体" w:eastAsia="黑体" w:cs="黑体"/>
          <w:b w:val="0"/>
          <w:bCs/>
          <w:sz w:val="32"/>
          <w:szCs w:val="32"/>
        </w:rPr>
        <w:t>附录2</w:t>
      </w:r>
    </w:p>
    <w:p w14:paraId="4E16CB26">
      <w:pPr>
        <w:pStyle w:val="33"/>
        <w:tabs>
          <w:tab w:val="left" w:pos="6720"/>
        </w:tabs>
        <w:spacing w:line="560" w:lineRule="exact"/>
        <w:ind w:firstLine="0" w:firstLineChars="0"/>
        <w:jc w:val="center"/>
        <w:outlineLvl w:val="1"/>
        <w:rPr>
          <w:rFonts w:hint="eastAsia" w:ascii="方正小标宋_GBK" w:hAnsi="方正小标宋_GBK" w:eastAsia="方正小标宋_GBK" w:cs="方正小标宋_GBK"/>
          <w:b w:val="0"/>
          <w:bCs/>
          <w:sz w:val="44"/>
          <w:szCs w:val="44"/>
        </w:rPr>
      </w:pPr>
    </w:p>
    <w:p w14:paraId="067B9831">
      <w:pPr>
        <w:pStyle w:val="33"/>
        <w:tabs>
          <w:tab w:val="left" w:pos="6720"/>
        </w:tabs>
        <w:spacing w:line="560" w:lineRule="exact"/>
        <w:ind w:firstLine="0" w:firstLineChars="0"/>
        <w:jc w:val="center"/>
        <w:outlineLvl w:val="1"/>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虚拟电厂运营安全承诺声明</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6819"/>
      </w:tblGrid>
      <w:tr w14:paraId="2C88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998" w:type="pct"/>
            <w:tcBorders>
              <w:top w:val="single" w:color="auto" w:sz="4" w:space="0"/>
              <w:left w:val="single" w:color="auto" w:sz="4" w:space="0"/>
              <w:bottom w:val="single" w:color="auto" w:sz="4" w:space="0"/>
              <w:right w:val="single" w:color="auto" w:sz="4" w:space="0"/>
            </w:tcBorders>
            <w:vAlign w:val="center"/>
          </w:tcPr>
          <w:p w14:paraId="68E4ADDB">
            <w:pPr>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单位名称</w:t>
            </w:r>
          </w:p>
        </w:tc>
        <w:tc>
          <w:tcPr>
            <w:tcW w:w="4001" w:type="pct"/>
            <w:tcBorders>
              <w:top w:val="single" w:color="auto" w:sz="4" w:space="0"/>
              <w:left w:val="single" w:color="auto" w:sz="4" w:space="0"/>
              <w:bottom w:val="single" w:color="auto" w:sz="4" w:space="0"/>
              <w:right w:val="single" w:color="auto" w:sz="4" w:space="0"/>
            </w:tcBorders>
            <w:vAlign w:val="center"/>
          </w:tcPr>
          <w:p w14:paraId="5B15FC83">
            <w:pPr>
              <w:ind w:firstLine="640" w:firstLineChars="200"/>
              <w:rPr>
                <w:rFonts w:ascii="Times New Roman" w:hAnsi="Times New Roman" w:eastAsia="仿宋_GB2312" w:cs="Times New Roman"/>
                <w:color w:val="000000"/>
                <w:sz w:val="32"/>
                <w:szCs w:val="32"/>
              </w:rPr>
            </w:pPr>
          </w:p>
        </w:tc>
      </w:tr>
      <w:tr w14:paraId="32B6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7"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14:paraId="2F1B0929">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申请单位承诺：</w:t>
            </w:r>
          </w:p>
          <w:p w14:paraId="1FB2FB71">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作为虚拟电厂安全运行的责任主体，负责运行全过程安全管理，保障运行过程安全、经济、合理的运行要求，承担安全风险责任：</w:t>
            </w:r>
          </w:p>
          <w:p w14:paraId="46369E8D">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（1）已熟知并将严格遵守国家有关法律法规、标准以及电力调度管理规程、电气设备运行规程等，安全管理要求满足《广东省虚拟电厂运营管理实施细则（试行）》</w:t>
            </w:r>
            <w:r>
              <w:rPr>
                <w:rFonts w:hint="eastAsia" w:ascii="Times New Roman" w:hAnsi="Times New Roman" w:eastAsia="仿宋_GB2312" w:cs="Times New Roman"/>
                <w:color w:val="000000"/>
                <w:sz w:val="32"/>
                <w:szCs w:val="32"/>
              </w:rPr>
              <w:t>《广州市虚拟电厂运营管理办法》</w:t>
            </w:r>
            <w:r>
              <w:rPr>
                <w:rFonts w:ascii="Times New Roman" w:hAnsi="Times New Roman" w:eastAsia="仿宋_GB2312" w:cs="Times New Roman"/>
                <w:color w:val="000000"/>
                <w:sz w:val="32"/>
                <w:szCs w:val="32"/>
              </w:rPr>
              <w:t>的相关规定。</w:t>
            </w:r>
          </w:p>
          <w:p w14:paraId="2CD76375">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建立完备有效的虚拟电厂安全管理制度，明确工作职责和安全管理流程，确保人员、设备和环境的安全，加强人员培训和安全教育，提高人员安全意识和应急处置能力。建立风险评估和应急预案，定期进行安全演练和应急演练，及时应对突发事件，主动汇报相关部门和机构。</w:t>
            </w:r>
          </w:p>
          <w:p w14:paraId="792E8345">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（3）定期进行技术支持系统、负荷调节设备的检查和维护，确保软硬件系统的正常运行和安全性能，及时发现和消除安全隐患，确保业务持续安全运行。</w:t>
            </w:r>
          </w:p>
          <w:p w14:paraId="429C25C2">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（4）承诺满足虚拟电厂网络安全要求，网络安全设备设施符合国家标准、行业标准和其他有关规定；履行保密义务，严禁非授权使用和发布电网企业及其他市场运营机构有关数据。</w:t>
            </w:r>
          </w:p>
          <w:p w14:paraId="0D82FAD1">
            <w:pPr>
              <w:ind w:firstLine="640" w:firstLineChars="200"/>
              <w:rPr>
                <w:rFonts w:ascii="Times New Roman" w:hAnsi="Times New Roman" w:eastAsia="仿宋_GB2312" w:cs="Times New Roman"/>
                <w:color w:val="000000"/>
                <w:sz w:val="32"/>
                <w:szCs w:val="32"/>
              </w:rPr>
            </w:pPr>
          </w:p>
          <w:p w14:paraId="09C1C64B">
            <w:pPr>
              <w:ind w:firstLine="640" w:firstLineChars="200"/>
              <w:rPr>
                <w:rFonts w:ascii="Times New Roman" w:hAnsi="Times New Roman" w:eastAsia="仿宋_GB2312" w:cs="Times New Roman"/>
                <w:color w:val="000000"/>
                <w:sz w:val="32"/>
                <w:szCs w:val="32"/>
              </w:rPr>
            </w:pPr>
          </w:p>
          <w:p w14:paraId="1C0BAD01">
            <w:pPr>
              <w:ind w:firstLine="640" w:firstLineChars="200"/>
              <w:rPr>
                <w:rFonts w:ascii="Times New Roman" w:hAnsi="Times New Roman" w:eastAsia="仿宋_GB2312" w:cs="Times New Roman"/>
                <w:color w:val="000000"/>
                <w:sz w:val="32"/>
                <w:szCs w:val="32"/>
              </w:rPr>
            </w:pPr>
          </w:p>
          <w:p w14:paraId="2357903B">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申请单位（盖章）：       法定代表人（签字）：</w:t>
            </w:r>
          </w:p>
          <w:p w14:paraId="59249388">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年    月    日</w:t>
            </w:r>
          </w:p>
        </w:tc>
      </w:tr>
    </w:tbl>
    <w:p w14:paraId="6D061CB3">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67423098">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318211DF">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7978847C">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253E76F8">
      <w:pPr>
        <w:pStyle w:val="33"/>
        <w:tabs>
          <w:tab w:val="left" w:pos="6720"/>
        </w:tabs>
        <w:spacing w:line="560" w:lineRule="exact"/>
        <w:ind w:firstLine="0" w:firstLineChars="0"/>
        <w:rPr>
          <w:rFonts w:hint="default" w:ascii="Times New Roman" w:hAnsi="Times New Roman" w:eastAsia="黑体" w:cs="Times New Roman"/>
          <w:b/>
          <w:sz w:val="32"/>
          <w:szCs w:val="32"/>
        </w:rPr>
        <w:sectPr>
          <w:footerReference r:id="rId3" w:type="default"/>
          <w:pgSz w:w="11906" w:h="16838"/>
          <w:pgMar w:top="1440" w:right="1800" w:bottom="1440" w:left="1800" w:header="851" w:footer="992" w:gutter="0"/>
          <w:pgNumType w:fmt="numberInDash"/>
          <w:cols w:space="425" w:num="1"/>
          <w:docGrid w:type="lines" w:linePitch="312" w:charSpace="0"/>
        </w:sectPr>
      </w:pPr>
    </w:p>
    <w:p w14:paraId="61000A51">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6204E84B">
      <w:pPr>
        <w:pStyle w:val="33"/>
        <w:tabs>
          <w:tab w:val="left" w:pos="6720"/>
        </w:tabs>
        <w:spacing w:line="560" w:lineRule="exact"/>
        <w:ind w:firstLine="0" w:firstLineChars="0"/>
        <w:outlineLvl w:val="1"/>
        <w:rPr>
          <w:rFonts w:ascii="Times New Roman" w:hAnsi="Times New Roman" w:eastAsia="黑体" w:cs="Times New Roman"/>
          <w:b/>
          <w:sz w:val="32"/>
          <w:szCs w:val="32"/>
        </w:rPr>
        <w:sectPr>
          <w:footerReference r:id="rId4" w:type="default"/>
          <w:type w:val="continuous"/>
          <w:pgSz w:w="11906" w:h="16838"/>
          <w:pgMar w:top="1440" w:right="1800" w:bottom="1440" w:left="1800" w:header="851" w:footer="992" w:gutter="0"/>
          <w:pgNumType w:fmt="numberInDash"/>
          <w:cols w:space="425" w:num="1"/>
          <w:docGrid w:type="lines" w:linePitch="312" w:charSpace="0"/>
        </w:sectPr>
      </w:pPr>
    </w:p>
    <w:p w14:paraId="779A1D64">
      <w:pPr>
        <w:pStyle w:val="28"/>
        <w:tabs>
          <w:tab w:val="left" w:pos="0"/>
        </w:tabs>
        <w:adjustRightInd w:val="0"/>
        <w:snapToGrid w:val="0"/>
        <w:spacing w:line="560" w:lineRule="exact"/>
        <w:ind w:firstLine="0" w:firstLineChars="0"/>
        <w:jc w:val="both"/>
        <w:outlineLvl w:val="0"/>
        <w:rPr>
          <w:rFonts w:hint="default" w:ascii="黑体" w:hAnsi="黑体" w:eastAsia="黑体" w:cs="黑体"/>
          <w:b w:val="0"/>
          <w:bCs/>
          <w:sz w:val="32"/>
          <w:szCs w:val="32"/>
        </w:rPr>
      </w:pPr>
      <w:r>
        <w:rPr>
          <w:rFonts w:hint="eastAsia" w:ascii="黑体" w:hAnsi="黑体" w:eastAsia="黑体" w:cs="黑体"/>
          <w:b w:val="0"/>
          <w:bCs/>
          <w:sz w:val="32"/>
          <w:szCs w:val="32"/>
        </w:rPr>
        <w:t>附录3</w:t>
      </w:r>
    </w:p>
    <w:p w14:paraId="467D3FBA">
      <w:pPr>
        <w:rPr>
          <w:rFonts w:ascii="黑体" w:hAnsi="黑体" w:eastAsia="黑体" w:cs="黑体"/>
          <w:bCs/>
          <w:sz w:val="32"/>
          <w:szCs w:val="32"/>
        </w:rPr>
      </w:pPr>
      <w:r>
        <w:rPr>
          <w:rFonts w:hint="eastAsia" w:ascii="黑体" w:hAnsi="黑体" w:eastAsia="黑体" w:cs="黑体"/>
          <w:bCs/>
          <w:sz w:val="32"/>
          <w:szCs w:val="32"/>
        </w:rPr>
        <w:t>协议编号：</w:t>
      </w:r>
    </w:p>
    <w:p w14:paraId="0B49CEA1">
      <w:pPr>
        <w:rPr>
          <w:rFonts w:ascii="仿宋" w:hAnsi="仿宋" w:eastAsia="仿宋" w:cs="仿宋"/>
          <w:bCs/>
          <w:szCs w:val="32"/>
        </w:rPr>
      </w:pPr>
    </w:p>
    <w:p w14:paraId="3CD80C27">
      <w:pPr>
        <w:rPr>
          <w:rFonts w:ascii="仿宋" w:hAnsi="仿宋" w:eastAsia="仿宋" w:cs="仿宋"/>
          <w:bCs/>
          <w:szCs w:val="32"/>
        </w:rPr>
      </w:pPr>
    </w:p>
    <w:p w14:paraId="199E3137">
      <w:pPr>
        <w:rPr>
          <w:rFonts w:ascii="仿宋" w:hAnsi="仿宋" w:eastAsia="仿宋" w:cs="仿宋"/>
          <w:bCs/>
          <w:szCs w:val="32"/>
        </w:rPr>
      </w:pPr>
    </w:p>
    <w:p w14:paraId="189D3DE2">
      <w:pPr>
        <w:rPr>
          <w:rFonts w:ascii="仿宋" w:hAnsi="仿宋" w:eastAsia="仿宋" w:cs="仿宋"/>
          <w:bCs/>
          <w:szCs w:val="32"/>
        </w:rPr>
      </w:pPr>
    </w:p>
    <w:p w14:paraId="7B8DFB73">
      <w:pPr>
        <w:rPr>
          <w:rFonts w:ascii="仿宋" w:hAnsi="仿宋" w:eastAsia="仿宋" w:cs="仿宋"/>
          <w:bCs/>
          <w:szCs w:val="32"/>
        </w:rPr>
      </w:pPr>
    </w:p>
    <w:p w14:paraId="26E45459">
      <w:pPr>
        <w:rPr>
          <w:rFonts w:ascii="仿宋" w:hAnsi="仿宋" w:eastAsia="仿宋" w:cs="仿宋"/>
          <w:bCs/>
          <w:szCs w:val="32"/>
        </w:rPr>
      </w:pPr>
    </w:p>
    <w:p w14:paraId="251059D1">
      <w:pPr>
        <w:rPr>
          <w:rFonts w:ascii="仿宋" w:hAnsi="仿宋" w:eastAsia="仿宋" w:cs="仿宋"/>
          <w:bCs/>
          <w:szCs w:val="32"/>
        </w:rPr>
      </w:pPr>
    </w:p>
    <w:p w14:paraId="3292E7BB">
      <w:pPr>
        <w:rPr>
          <w:rFonts w:ascii="仿宋" w:hAnsi="仿宋" w:eastAsia="仿宋" w:cs="仿宋"/>
          <w:bCs/>
          <w:szCs w:val="32"/>
        </w:rPr>
      </w:pPr>
    </w:p>
    <w:p w14:paraId="6969E85C">
      <w:pPr>
        <w:spacing w:line="360" w:lineRule="auto"/>
        <w:jc w:val="center"/>
        <w:rPr>
          <w:rFonts w:ascii="黑体" w:hAnsi="黑体" w:eastAsia="黑体" w:cs="黑体"/>
          <w:bCs/>
          <w:sz w:val="44"/>
          <w:szCs w:val="44"/>
        </w:rPr>
      </w:pPr>
      <w:r>
        <w:rPr>
          <w:rFonts w:hint="eastAsia" w:ascii="黑体" w:hAnsi="黑体" w:eastAsia="黑体" w:cs="黑体"/>
          <w:bCs/>
          <w:sz w:val="44"/>
          <w:szCs w:val="44"/>
        </w:rPr>
        <w:t>广州市虚拟电厂电力响应服务</w:t>
      </w:r>
    </w:p>
    <w:p w14:paraId="4B058400">
      <w:pPr>
        <w:spacing w:line="360" w:lineRule="auto"/>
        <w:jc w:val="center"/>
        <w:rPr>
          <w:rFonts w:ascii="黑体" w:hAnsi="黑体" w:eastAsia="黑体" w:cs="黑体"/>
          <w:bCs/>
          <w:sz w:val="44"/>
          <w:szCs w:val="44"/>
        </w:rPr>
      </w:pPr>
      <w:r>
        <w:rPr>
          <w:rFonts w:hint="eastAsia" w:ascii="黑体" w:hAnsi="黑体" w:eastAsia="黑体" w:cs="黑体"/>
          <w:bCs/>
          <w:sz w:val="44"/>
          <w:szCs w:val="44"/>
        </w:rPr>
        <w:t>代理协议（试行）</w:t>
      </w:r>
    </w:p>
    <w:p w14:paraId="6A4925F6">
      <w:pPr>
        <w:rPr>
          <w:rFonts w:ascii="宋体" w:hAnsi="宋体" w:eastAsia="宋体" w:cs="Times New Roman"/>
          <w:szCs w:val="20"/>
        </w:rPr>
      </w:pPr>
    </w:p>
    <w:p w14:paraId="6E98E878">
      <w:pPr>
        <w:rPr>
          <w:rFonts w:ascii="仿宋" w:hAnsi="仿宋" w:eastAsia="仿宋" w:cs="仿宋"/>
          <w:bCs/>
          <w:szCs w:val="32"/>
        </w:rPr>
      </w:pPr>
    </w:p>
    <w:p w14:paraId="7050156E">
      <w:pPr>
        <w:rPr>
          <w:rFonts w:ascii="仿宋" w:hAnsi="仿宋" w:eastAsia="仿宋" w:cs="仿宋"/>
          <w:bCs/>
          <w:szCs w:val="32"/>
        </w:rPr>
      </w:pPr>
    </w:p>
    <w:p w14:paraId="2563E099">
      <w:pPr>
        <w:rPr>
          <w:rFonts w:ascii="仿宋" w:hAnsi="仿宋" w:eastAsia="仿宋" w:cs="仿宋"/>
          <w:bCs/>
          <w:szCs w:val="32"/>
        </w:rPr>
      </w:pPr>
    </w:p>
    <w:p w14:paraId="04A8CF45">
      <w:pPr>
        <w:rPr>
          <w:rFonts w:ascii="仿宋" w:hAnsi="仿宋" w:eastAsia="仿宋" w:cs="仿宋"/>
          <w:bCs/>
          <w:szCs w:val="32"/>
        </w:rPr>
      </w:pPr>
    </w:p>
    <w:p w14:paraId="040B9543">
      <w:pPr>
        <w:rPr>
          <w:rFonts w:ascii="仿宋" w:hAnsi="仿宋" w:eastAsia="仿宋" w:cs="仿宋"/>
          <w:bCs/>
          <w:szCs w:val="32"/>
        </w:rPr>
      </w:pPr>
    </w:p>
    <w:p w14:paraId="3544A592">
      <w:pPr>
        <w:rPr>
          <w:rFonts w:ascii="仿宋" w:hAnsi="仿宋" w:eastAsia="仿宋" w:cs="仿宋"/>
          <w:bCs/>
          <w:szCs w:val="32"/>
        </w:rPr>
      </w:pPr>
    </w:p>
    <w:p w14:paraId="6E864F55">
      <w:pPr>
        <w:rPr>
          <w:rFonts w:ascii="仿宋" w:hAnsi="仿宋" w:eastAsia="仿宋" w:cs="仿宋"/>
          <w:bCs/>
          <w:szCs w:val="32"/>
        </w:rPr>
      </w:pPr>
    </w:p>
    <w:p w14:paraId="1F923133">
      <w:pPr>
        <w:rPr>
          <w:rFonts w:ascii="仿宋" w:hAnsi="仿宋" w:eastAsia="仿宋" w:cs="仿宋"/>
          <w:bCs/>
          <w:szCs w:val="32"/>
        </w:rPr>
      </w:pPr>
    </w:p>
    <w:p w14:paraId="5AC451B2">
      <w:pPr>
        <w:rPr>
          <w:rFonts w:ascii="仿宋" w:hAnsi="仿宋" w:eastAsia="仿宋" w:cs="仿宋"/>
          <w:bCs/>
          <w:szCs w:val="32"/>
        </w:rPr>
      </w:pPr>
    </w:p>
    <w:p w14:paraId="47F5F4AB">
      <w:pPr>
        <w:rPr>
          <w:rFonts w:ascii="仿宋_GB2312" w:hAnsi="仿宋" w:eastAsia="仿宋_GB2312" w:cs="仿宋"/>
          <w:bCs/>
          <w:sz w:val="32"/>
          <w:szCs w:val="32"/>
        </w:rPr>
      </w:pPr>
      <w:r>
        <w:rPr>
          <w:rFonts w:hint="eastAsia" w:ascii="仿宋_GB2312" w:hAnsi="仿宋" w:eastAsia="仿宋_GB2312" w:cs="仿宋"/>
          <w:bCs/>
          <w:sz w:val="32"/>
          <w:szCs w:val="32"/>
        </w:rPr>
        <w:t>甲方（可调资源用户）：</w:t>
      </w:r>
      <w:r>
        <w:rPr>
          <w:rFonts w:hint="eastAsia" w:ascii="仿宋_GB2312" w:hAnsi="仿宋" w:eastAsia="仿宋_GB2312" w:cs="仿宋"/>
          <w:bCs/>
          <w:sz w:val="32"/>
          <w:szCs w:val="32"/>
          <w:u w:val="single"/>
        </w:rPr>
        <w:t xml:space="preserve">                                 </w:t>
      </w:r>
    </w:p>
    <w:p w14:paraId="48673805">
      <w:pPr>
        <w:rPr>
          <w:rFonts w:ascii="仿宋_GB2312" w:hAnsi="仿宋" w:eastAsia="仿宋_GB2312" w:cs="仿宋"/>
          <w:bCs/>
          <w:sz w:val="32"/>
          <w:szCs w:val="32"/>
        </w:rPr>
      </w:pPr>
      <w:r>
        <w:rPr>
          <w:rFonts w:hint="eastAsia" w:ascii="仿宋_GB2312" w:hAnsi="仿宋" w:eastAsia="仿宋_GB2312" w:cs="仿宋"/>
          <w:bCs/>
          <w:sz w:val="32"/>
          <w:szCs w:val="32"/>
        </w:rPr>
        <w:t>乙方（虚拟电厂运营商）：</w:t>
      </w:r>
      <w:r>
        <w:rPr>
          <w:rFonts w:hint="eastAsia" w:ascii="仿宋_GB2312" w:hAnsi="仿宋" w:eastAsia="仿宋_GB2312" w:cs="仿宋"/>
          <w:bCs/>
          <w:sz w:val="32"/>
          <w:szCs w:val="32"/>
          <w:u w:val="single"/>
        </w:rPr>
        <w:t xml:space="preserve">                              </w:t>
      </w:r>
    </w:p>
    <w:p w14:paraId="327D51B9">
      <w:pPr>
        <w:rPr>
          <w:rFonts w:ascii="宋体" w:hAnsi="宋体" w:eastAsia="宋体" w:cs="Times New Roman"/>
          <w:szCs w:val="20"/>
        </w:rPr>
      </w:pPr>
    </w:p>
    <w:p w14:paraId="1430CC98">
      <w:pPr>
        <w:rPr>
          <w:rFonts w:ascii="宋体" w:hAnsi="宋体" w:eastAsia="宋体" w:cs="Times New Roman"/>
          <w:szCs w:val="20"/>
        </w:rPr>
      </w:pPr>
    </w:p>
    <w:p w14:paraId="2E4C15F2">
      <w:pPr>
        <w:rPr>
          <w:rFonts w:ascii="宋体" w:hAnsi="宋体" w:eastAsia="宋体" w:cs="Times New Roman"/>
          <w:szCs w:val="20"/>
        </w:rPr>
      </w:pPr>
    </w:p>
    <w:p w14:paraId="47104F33">
      <w:pPr>
        <w:rPr>
          <w:rFonts w:ascii="宋体" w:hAnsi="宋体" w:eastAsia="宋体" w:cs="Times New Roman"/>
          <w:szCs w:val="20"/>
        </w:rPr>
      </w:pPr>
    </w:p>
    <w:p w14:paraId="036C4B88">
      <w:pPr>
        <w:rPr>
          <w:rFonts w:ascii="宋体" w:hAnsi="宋体" w:eastAsia="宋体" w:cs="Times New Roman"/>
          <w:szCs w:val="20"/>
        </w:rPr>
      </w:pPr>
    </w:p>
    <w:p w14:paraId="77D653DA">
      <w:pPr>
        <w:rPr>
          <w:rFonts w:ascii="宋体" w:hAnsi="宋体" w:eastAsia="宋体" w:cs="Times New Roman"/>
          <w:szCs w:val="20"/>
        </w:rPr>
      </w:pPr>
    </w:p>
    <w:p w14:paraId="280E66D8">
      <w:pPr>
        <w:rPr>
          <w:rFonts w:ascii="宋体" w:hAnsi="宋体" w:eastAsia="宋体" w:cs="Times New Roman"/>
          <w:szCs w:val="20"/>
        </w:rPr>
      </w:pPr>
    </w:p>
    <w:p w14:paraId="62C40891">
      <w:pPr>
        <w:rPr>
          <w:rFonts w:ascii="宋体" w:hAnsi="宋体" w:eastAsia="宋体" w:cs="Times New Roman"/>
          <w:szCs w:val="20"/>
        </w:rPr>
      </w:pPr>
    </w:p>
    <w:p w14:paraId="426E63A7">
      <w:pPr>
        <w:rPr>
          <w:rFonts w:ascii="宋体" w:hAnsi="宋体" w:eastAsia="宋体" w:cs="Times New Roman"/>
          <w:szCs w:val="20"/>
        </w:rPr>
      </w:pPr>
    </w:p>
    <w:p w14:paraId="224D1141">
      <w:pPr>
        <w:rPr>
          <w:rFonts w:ascii="宋体" w:hAnsi="宋体" w:eastAsia="宋体" w:cs="Times New Roman"/>
          <w:szCs w:val="20"/>
        </w:rPr>
      </w:pPr>
    </w:p>
    <w:p w14:paraId="2CA0E3FB">
      <w:pPr>
        <w:rPr>
          <w:rFonts w:ascii="宋体" w:hAnsi="宋体" w:eastAsia="宋体" w:cs="Times New Roman"/>
          <w:szCs w:val="20"/>
        </w:rPr>
      </w:pPr>
    </w:p>
    <w:p w14:paraId="5FDC4C3D">
      <w:pPr>
        <w:jc w:val="center"/>
        <w:rPr>
          <w:rFonts w:ascii="仿宋_GB2312" w:hAnsi="仿宋" w:eastAsia="宋体" w:cs="仿宋"/>
          <w:bCs/>
          <w:sz w:val="32"/>
          <w:szCs w:val="32"/>
        </w:rPr>
      </w:pPr>
      <w:r>
        <w:rPr>
          <w:rFonts w:hint="eastAsia" w:ascii="仿宋_GB2312" w:hAnsi="仿宋" w:eastAsia="仿宋_GB2312" w:cs="仿宋"/>
          <w:bCs/>
          <w:sz w:val="32"/>
          <w:szCs w:val="32"/>
        </w:rPr>
        <w:t>日  期：</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年</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月</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日</w:t>
      </w:r>
    </w:p>
    <w:p w14:paraId="10B8C60C">
      <w:pPr>
        <w:rPr>
          <w:rFonts w:ascii="宋体" w:hAnsi="宋体" w:eastAsia="宋体" w:cs="Times New Roman"/>
          <w:szCs w:val="20"/>
        </w:rPr>
      </w:pPr>
    </w:p>
    <w:p w14:paraId="66E9F27B">
      <w:pPr>
        <w:widowControl/>
        <w:jc w:val="left"/>
        <w:rPr>
          <w:rFonts w:ascii="宋体" w:hAnsi="宋体" w:eastAsia="宋体" w:cs="Times New Roman"/>
          <w:szCs w:val="20"/>
        </w:rPr>
      </w:pPr>
      <w:r>
        <w:rPr>
          <w:rFonts w:ascii="宋体" w:hAnsi="宋体" w:eastAsia="宋体" w:cs="Times New Roman"/>
          <w:szCs w:val="20"/>
        </w:rPr>
        <w:br w:type="page"/>
      </w:r>
    </w:p>
    <w:p w14:paraId="42FE9CAF">
      <w:pPr>
        <w:spacing w:line="586" w:lineRule="exact"/>
        <w:jc w:val="center"/>
        <w:rPr>
          <w:rFonts w:ascii="黑体" w:hAnsi="黑体" w:eastAsia="黑体" w:cs="黑体"/>
          <w:bCs/>
          <w:sz w:val="44"/>
          <w:szCs w:val="44"/>
        </w:rPr>
      </w:pPr>
    </w:p>
    <w:p w14:paraId="7E061BB5">
      <w:pPr>
        <w:spacing w:line="586" w:lineRule="exact"/>
        <w:jc w:val="center"/>
        <w:rPr>
          <w:rFonts w:ascii="黑体" w:hAnsi="黑体" w:eastAsia="黑体" w:cs="黑体"/>
          <w:bCs/>
          <w:sz w:val="44"/>
          <w:szCs w:val="44"/>
        </w:rPr>
      </w:pPr>
      <w:r>
        <w:rPr>
          <w:rFonts w:hint="eastAsia" w:ascii="黑体" w:hAnsi="黑体" w:eastAsia="黑体" w:cs="黑体"/>
          <w:bCs/>
          <w:sz w:val="44"/>
          <w:szCs w:val="44"/>
        </w:rPr>
        <w:t>使用说明</w:t>
      </w:r>
    </w:p>
    <w:p w14:paraId="706867C8">
      <w:pPr>
        <w:spacing w:line="586" w:lineRule="exact"/>
        <w:jc w:val="center"/>
        <w:rPr>
          <w:rFonts w:ascii="黑体" w:hAnsi="黑体" w:eastAsia="黑体" w:cs="黑体"/>
          <w:bCs/>
          <w:sz w:val="44"/>
          <w:szCs w:val="44"/>
        </w:rPr>
      </w:pPr>
    </w:p>
    <w:p w14:paraId="684335FE">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一、本协议适用于广州市虚拟电厂代理可调用户参与广州市电力响应服务的行为。</w:t>
      </w:r>
    </w:p>
    <w:p w14:paraId="3F4C7F29">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二、虚拟电厂与可调资源用户应按照协议标准文本签订协议，按响应服务规则参与广州市电力响应服务，确定代理关系和响应服务收益分配比例。</w:t>
      </w:r>
    </w:p>
    <w:p w14:paraId="5EC03837">
      <w:pPr>
        <w:spacing w:line="586" w:lineRule="exact"/>
        <w:ind w:firstLine="640" w:firstLineChars="200"/>
        <w:rPr>
          <w:rFonts w:ascii="仿宋_GB2312" w:hAnsi="仿宋" w:eastAsia="仿宋_GB2312" w:cs="仿宋"/>
          <w:bCs/>
          <w:color w:val="FF0000"/>
          <w:sz w:val="32"/>
          <w:szCs w:val="32"/>
        </w:rPr>
      </w:pPr>
      <w:r>
        <w:rPr>
          <w:rFonts w:hint="eastAsia" w:ascii="仿宋_GB2312" w:hAnsi="仿宋" w:eastAsia="仿宋_GB2312" w:cs="仿宋"/>
          <w:bCs/>
          <w:sz w:val="32"/>
          <w:szCs w:val="32"/>
        </w:rPr>
        <w:t>三、按照发布的广州市电力响应服务规则执行。符合准入条件的可调资源用户只能选择一家虚拟电厂运营商参与电力响应服务并签订代理服务协议。</w:t>
      </w:r>
    </w:p>
    <w:p w14:paraId="0ADB05CB">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四、协议双方本着平等、自愿、公平和诚信的原则，可根据具体情况对协议有关章节或条款签订补充协议。补充协议与本协议具有同等法律效力。</w:t>
      </w:r>
    </w:p>
    <w:p w14:paraId="319200E8">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五、如国家法律、法规发生变化或者政府部门出台有关规定、</w:t>
      </w:r>
      <w:r>
        <w:rPr>
          <w:rFonts w:hint="eastAsia" w:ascii="仿宋_GB2312" w:hAnsi="仿宋" w:eastAsia="仿宋_GB2312" w:cs="仿宋"/>
          <w:sz w:val="32"/>
          <w:szCs w:val="32"/>
        </w:rPr>
        <w:t>规则，协议双方应按照法律、法规、规定和规则予以调整和修改。</w:t>
      </w:r>
    </w:p>
    <w:p w14:paraId="1E813872">
      <w:pPr>
        <w:rPr>
          <w:rFonts w:ascii="仿宋" w:hAnsi="仿宋" w:eastAsia="仿宋" w:cs="仿宋"/>
          <w:bCs/>
          <w:szCs w:val="32"/>
        </w:rPr>
      </w:pPr>
    </w:p>
    <w:p w14:paraId="09DF7DAE">
      <w:pPr>
        <w:rPr>
          <w:rFonts w:ascii="仿宋" w:hAnsi="仿宋" w:eastAsia="仿宋" w:cs="仿宋"/>
          <w:bCs/>
          <w:szCs w:val="32"/>
        </w:rPr>
      </w:pPr>
    </w:p>
    <w:p w14:paraId="5528C8D2">
      <w:pPr>
        <w:widowControl/>
        <w:jc w:val="left"/>
        <w:rPr>
          <w:rFonts w:ascii="黑体" w:hAnsi="黑体" w:eastAsia="黑体" w:cs="黑体"/>
          <w:bCs/>
          <w:sz w:val="44"/>
          <w:szCs w:val="44"/>
        </w:rPr>
      </w:pPr>
      <w:r>
        <w:rPr>
          <w:rFonts w:ascii="黑体" w:hAnsi="黑体" w:eastAsia="黑体" w:cs="黑体"/>
          <w:bCs/>
          <w:sz w:val="44"/>
          <w:szCs w:val="44"/>
        </w:rPr>
        <w:br w:type="page"/>
      </w:r>
    </w:p>
    <w:p w14:paraId="7635612F">
      <w:pPr>
        <w:spacing w:line="586" w:lineRule="exact"/>
        <w:jc w:val="center"/>
        <w:rPr>
          <w:rFonts w:ascii="黑体" w:hAnsi="黑体" w:eastAsia="黑体" w:cs="黑体"/>
          <w:bCs/>
          <w:sz w:val="44"/>
          <w:szCs w:val="44"/>
        </w:rPr>
      </w:pPr>
    </w:p>
    <w:p w14:paraId="4D75AF65">
      <w:pPr>
        <w:spacing w:line="586" w:lineRule="exact"/>
        <w:jc w:val="center"/>
        <w:rPr>
          <w:rFonts w:ascii="黑体" w:hAnsi="黑体" w:eastAsia="黑体" w:cs="黑体"/>
          <w:b w:val="0"/>
          <w:bCs w:val="0"/>
          <w:sz w:val="44"/>
          <w:szCs w:val="44"/>
        </w:rPr>
      </w:pPr>
      <w:r>
        <w:rPr>
          <w:rFonts w:hint="eastAsia" w:ascii="黑体" w:hAnsi="黑体" w:eastAsia="黑体" w:cs="黑体"/>
          <w:b w:val="0"/>
          <w:bCs w:val="0"/>
          <w:sz w:val="44"/>
          <w:szCs w:val="44"/>
        </w:rPr>
        <w:t>目   录</w:t>
      </w:r>
    </w:p>
    <w:p w14:paraId="2FE2BC48">
      <w:pPr>
        <w:spacing w:line="586" w:lineRule="exact"/>
        <w:rPr>
          <w:rFonts w:ascii="黑体" w:hAnsi="黑体" w:eastAsia="黑体" w:cs="黑体"/>
          <w:bCs/>
          <w:sz w:val="44"/>
          <w:szCs w:val="44"/>
        </w:rPr>
      </w:pPr>
    </w:p>
    <w:p w14:paraId="641B23E8">
      <w:pPr>
        <w:tabs>
          <w:tab w:val="right" w:leader="dot" w:pos="8720"/>
        </w:tabs>
        <w:spacing w:line="586" w:lineRule="exact"/>
        <w:rPr>
          <w:rFonts w:ascii="仿宋_GB2312" w:hAnsi="Calibri" w:eastAsia="仿宋_GB2312" w:cs="Times New Roman"/>
          <w:sz w:val="32"/>
          <w:szCs w:val="32"/>
        </w:rPr>
      </w:pPr>
      <w:r>
        <w:rPr>
          <w:rFonts w:hint="eastAsia" w:ascii="仿宋_GB2312" w:hAnsi="仿宋" w:eastAsia="仿宋_GB2312" w:cs="仿宋"/>
          <w:bCs/>
          <w:sz w:val="32"/>
          <w:szCs w:val="32"/>
        </w:rPr>
        <w:fldChar w:fldCharType="begin"/>
      </w:r>
      <w:r>
        <w:rPr>
          <w:rFonts w:hint="eastAsia" w:ascii="仿宋_GB2312" w:hAnsi="仿宋" w:eastAsia="仿宋_GB2312" w:cs="仿宋"/>
          <w:bCs/>
          <w:sz w:val="32"/>
          <w:szCs w:val="32"/>
        </w:rPr>
        <w:instrText xml:space="preserve"> TOC \o "1-1" \h \z \u </w:instrText>
      </w:r>
      <w:r>
        <w:rPr>
          <w:rFonts w:hint="eastAsia" w:ascii="仿宋_GB2312" w:hAnsi="仿宋" w:eastAsia="仿宋_GB2312" w:cs="仿宋"/>
          <w:bCs/>
          <w:sz w:val="32"/>
          <w:szCs w:val="32"/>
        </w:rPr>
        <w:fldChar w:fldCharType="separate"/>
      </w:r>
      <w:r>
        <w:fldChar w:fldCharType="begin"/>
      </w:r>
      <w:r>
        <w:instrText xml:space="preserve"> HYPERLINK \l "_Toc160801312" </w:instrText>
      </w:r>
      <w:r>
        <w:fldChar w:fldCharType="separate"/>
      </w:r>
      <w:r>
        <w:rPr>
          <w:rFonts w:hint="eastAsia" w:ascii="仿宋_GB2312" w:hAnsi="宋体" w:eastAsia="仿宋_GB2312" w:cs="Times New Roman"/>
          <w:sz w:val="32"/>
          <w:szCs w:val="32"/>
          <w:u w:val="single"/>
        </w:rPr>
        <w:t>第一章  基本信息</w:t>
      </w:r>
      <w:r>
        <w:rPr>
          <w:rFonts w:hint="eastAsia" w:ascii="仿宋_GB2312" w:hAnsi="宋体" w:eastAsia="仿宋_GB2312" w:cs="Times New Roman"/>
          <w:sz w:val="32"/>
          <w:szCs w:val="32"/>
        </w:rPr>
        <w:tab/>
      </w:r>
      <w:r>
        <w:rPr>
          <w:rFonts w:hint="eastAsia" w:ascii="仿宋_GB2312" w:hAnsi="宋体" w:eastAsia="仿宋_GB2312" w:cs="Times New Roman"/>
          <w:sz w:val="32"/>
          <w:szCs w:val="32"/>
          <w:lang w:val="en-US" w:eastAsia="zh-CN"/>
        </w:rPr>
        <w:t>1</w:t>
      </w:r>
      <w:r>
        <w:rPr>
          <w:rFonts w:hint="eastAsia" w:ascii="仿宋_GB2312" w:hAnsi="宋体" w:eastAsia="仿宋_GB2312" w:cs="Times New Roman"/>
          <w:sz w:val="32"/>
          <w:szCs w:val="32"/>
          <w:lang w:val="en-US" w:eastAsia="zh-CN"/>
        </w:rPr>
        <w:fldChar w:fldCharType="end"/>
      </w:r>
    </w:p>
    <w:p w14:paraId="45EA87BE">
      <w:pPr>
        <w:tabs>
          <w:tab w:val="right" w:leader="dot" w:pos="8720"/>
        </w:tabs>
        <w:spacing w:line="586" w:lineRule="exact"/>
        <w:rPr>
          <w:rFonts w:ascii="仿宋_GB2312" w:hAnsi="Calibri" w:eastAsia="仿宋_GB2312" w:cs="Times New Roman"/>
          <w:sz w:val="32"/>
          <w:szCs w:val="32"/>
        </w:rPr>
      </w:pPr>
      <w:r>
        <w:fldChar w:fldCharType="begin"/>
      </w:r>
      <w:r>
        <w:instrText xml:space="preserve"> HYPERLINK \l "_Toc160801314" </w:instrText>
      </w:r>
      <w:r>
        <w:fldChar w:fldCharType="separate"/>
      </w:r>
      <w:r>
        <w:rPr>
          <w:rFonts w:hint="eastAsia" w:ascii="仿宋_GB2312" w:hAnsi="宋体" w:eastAsia="仿宋_GB2312" w:cs="Times New Roman"/>
          <w:sz w:val="32"/>
          <w:szCs w:val="32"/>
          <w:u w:val="single"/>
        </w:rPr>
        <w:t>第二章  双方陈述</w:t>
      </w:r>
      <w:r>
        <w:rPr>
          <w:rFonts w:hint="eastAsia" w:ascii="仿宋_GB2312" w:hAnsi="宋体" w:eastAsia="仿宋_GB2312" w:cs="Times New Roman"/>
          <w:sz w:val="32"/>
          <w:szCs w:val="32"/>
        </w:rPr>
        <w:tab/>
      </w:r>
      <w:r>
        <w:rPr>
          <w:rFonts w:hint="eastAsia" w:ascii="仿宋_GB2312" w:hAnsi="宋体" w:eastAsia="仿宋_GB2312" w:cs="Times New Roman"/>
          <w:sz w:val="32"/>
          <w:szCs w:val="32"/>
          <w:lang w:val="en-US" w:eastAsia="zh-CN"/>
        </w:rPr>
        <w:t>5</w:t>
      </w:r>
      <w:r>
        <w:rPr>
          <w:rFonts w:hint="eastAsia" w:ascii="仿宋_GB2312" w:hAnsi="宋体" w:eastAsia="仿宋_GB2312" w:cs="Times New Roman"/>
          <w:sz w:val="32"/>
          <w:szCs w:val="32"/>
          <w:lang w:val="en-US" w:eastAsia="zh-CN"/>
        </w:rPr>
        <w:fldChar w:fldCharType="end"/>
      </w:r>
    </w:p>
    <w:p w14:paraId="01F9D967">
      <w:pPr>
        <w:tabs>
          <w:tab w:val="right" w:leader="dot" w:pos="8720"/>
        </w:tabs>
        <w:spacing w:line="586" w:lineRule="exact"/>
        <w:rPr>
          <w:rFonts w:ascii="仿宋_GB2312" w:hAnsi="Calibri" w:eastAsia="仿宋_GB2312" w:cs="Times New Roman"/>
          <w:sz w:val="32"/>
          <w:szCs w:val="32"/>
        </w:rPr>
      </w:pPr>
      <w:r>
        <w:fldChar w:fldCharType="begin"/>
      </w:r>
      <w:r>
        <w:instrText xml:space="preserve"> HYPERLINK \l "_Toc160801315" </w:instrText>
      </w:r>
      <w:r>
        <w:fldChar w:fldCharType="separate"/>
      </w:r>
      <w:r>
        <w:rPr>
          <w:rFonts w:hint="eastAsia" w:ascii="仿宋_GB2312" w:hAnsi="宋体" w:eastAsia="仿宋_GB2312" w:cs="Times New Roman"/>
          <w:sz w:val="32"/>
          <w:szCs w:val="32"/>
          <w:u w:val="single"/>
        </w:rPr>
        <w:t>第三章  双方的权利和义务</w:t>
      </w:r>
      <w:r>
        <w:rPr>
          <w:rFonts w:hint="eastAsia" w:ascii="仿宋_GB2312" w:hAnsi="宋体" w:eastAsia="仿宋_GB2312" w:cs="Times New Roman"/>
          <w:sz w:val="32"/>
          <w:szCs w:val="32"/>
        </w:rPr>
        <w:tab/>
      </w:r>
      <w:r>
        <w:rPr>
          <w:rFonts w:hint="eastAsia" w:ascii="仿宋_GB2312" w:hAnsi="宋体" w:eastAsia="仿宋_GB2312" w:cs="Times New Roman"/>
          <w:sz w:val="32"/>
          <w:szCs w:val="32"/>
          <w:lang w:val="en-US" w:eastAsia="zh-CN"/>
        </w:rPr>
        <w:t>5</w:t>
      </w:r>
      <w:r>
        <w:rPr>
          <w:rFonts w:hint="eastAsia" w:ascii="仿宋_GB2312" w:hAnsi="宋体" w:eastAsia="仿宋_GB2312" w:cs="Times New Roman"/>
          <w:sz w:val="32"/>
          <w:szCs w:val="32"/>
          <w:lang w:val="en-US" w:eastAsia="zh-CN"/>
        </w:rPr>
        <w:fldChar w:fldCharType="end"/>
      </w:r>
    </w:p>
    <w:p w14:paraId="1600546B">
      <w:pPr>
        <w:tabs>
          <w:tab w:val="right" w:leader="dot" w:pos="8720"/>
        </w:tabs>
        <w:spacing w:line="586" w:lineRule="exact"/>
        <w:rPr>
          <w:rFonts w:ascii="仿宋_GB2312" w:hAnsi="Calibri" w:eastAsia="仿宋_GB2312" w:cs="Times New Roman"/>
          <w:sz w:val="32"/>
          <w:szCs w:val="32"/>
        </w:rPr>
      </w:pPr>
      <w:r>
        <w:fldChar w:fldCharType="begin"/>
      </w:r>
      <w:r>
        <w:instrText xml:space="preserve"> HYPERLINK \l "_Toc160801316" </w:instrText>
      </w:r>
      <w:r>
        <w:fldChar w:fldCharType="separate"/>
      </w:r>
      <w:r>
        <w:rPr>
          <w:rFonts w:hint="eastAsia" w:ascii="仿宋_GB2312" w:hAnsi="宋体" w:eastAsia="仿宋_GB2312" w:cs="Times New Roman"/>
          <w:sz w:val="32"/>
          <w:szCs w:val="32"/>
          <w:u w:val="single"/>
        </w:rPr>
        <w:t>第四章  协议有效期</w:t>
      </w:r>
      <w:r>
        <w:rPr>
          <w:rFonts w:hint="eastAsia" w:ascii="仿宋_GB2312" w:hAnsi="宋体" w:eastAsia="仿宋_GB2312" w:cs="Times New Roman"/>
          <w:sz w:val="32"/>
          <w:szCs w:val="32"/>
        </w:rPr>
        <w:tab/>
      </w:r>
      <w:r>
        <w:rPr>
          <w:rFonts w:hint="eastAsia" w:ascii="仿宋_GB2312" w:hAnsi="宋体" w:eastAsia="仿宋_GB2312" w:cs="Times New Roman"/>
          <w:sz w:val="32"/>
          <w:szCs w:val="32"/>
          <w:lang w:val="en-US" w:eastAsia="zh-CN"/>
        </w:rPr>
        <w:t>7</w:t>
      </w:r>
      <w:r>
        <w:rPr>
          <w:rFonts w:hint="eastAsia" w:ascii="仿宋_GB2312" w:hAnsi="宋体" w:eastAsia="仿宋_GB2312" w:cs="Times New Roman"/>
          <w:sz w:val="32"/>
          <w:szCs w:val="32"/>
          <w:lang w:val="en-US" w:eastAsia="zh-CN"/>
        </w:rPr>
        <w:fldChar w:fldCharType="end"/>
      </w:r>
    </w:p>
    <w:p w14:paraId="2DBC9B08">
      <w:pPr>
        <w:tabs>
          <w:tab w:val="right" w:leader="dot" w:pos="8720"/>
        </w:tabs>
        <w:spacing w:line="586" w:lineRule="exact"/>
        <w:rPr>
          <w:rFonts w:ascii="仿宋_GB2312" w:hAnsi="Calibri" w:eastAsia="仿宋_GB2312" w:cs="Times New Roman"/>
          <w:sz w:val="32"/>
          <w:szCs w:val="32"/>
        </w:rPr>
      </w:pPr>
      <w:r>
        <w:fldChar w:fldCharType="begin"/>
      </w:r>
      <w:r>
        <w:instrText xml:space="preserve"> HYPERLINK \l "_Toc160801317" </w:instrText>
      </w:r>
      <w:r>
        <w:fldChar w:fldCharType="separate"/>
      </w:r>
      <w:r>
        <w:rPr>
          <w:rFonts w:hint="eastAsia" w:ascii="仿宋_GB2312" w:hAnsi="宋体" w:eastAsia="仿宋_GB2312" w:cs="Times New Roman"/>
          <w:sz w:val="32"/>
          <w:szCs w:val="32"/>
          <w:u w:val="single"/>
        </w:rPr>
        <w:t>第五章  收益分配及方式</w:t>
      </w:r>
      <w:r>
        <w:rPr>
          <w:rFonts w:hint="eastAsia" w:ascii="仿宋_GB2312" w:hAnsi="宋体" w:eastAsia="仿宋_GB2312" w:cs="Times New Roman"/>
          <w:sz w:val="32"/>
          <w:szCs w:val="32"/>
        </w:rPr>
        <w:tab/>
      </w:r>
      <w:r>
        <w:rPr>
          <w:rFonts w:hint="eastAsia" w:ascii="仿宋_GB2312" w:hAnsi="宋体" w:eastAsia="仿宋_GB2312" w:cs="Times New Roman"/>
          <w:sz w:val="32"/>
          <w:szCs w:val="32"/>
          <w:lang w:val="en-US" w:eastAsia="zh-CN"/>
        </w:rPr>
        <w:t>7</w:t>
      </w:r>
      <w:r>
        <w:rPr>
          <w:rFonts w:hint="eastAsia" w:ascii="仿宋_GB2312" w:hAnsi="宋体" w:eastAsia="仿宋_GB2312" w:cs="Times New Roman"/>
          <w:sz w:val="32"/>
          <w:szCs w:val="32"/>
          <w:lang w:val="en-US" w:eastAsia="zh-CN"/>
        </w:rPr>
        <w:fldChar w:fldCharType="end"/>
      </w:r>
    </w:p>
    <w:p w14:paraId="614779A7">
      <w:pPr>
        <w:tabs>
          <w:tab w:val="right" w:leader="dot" w:pos="8720"/>
        </w:tabs>
        <w:spacing w:line="586" w:lineRule="exact"/>
        <w:rPr>
          <w:rFonts w:ascii="仿宋_GB2312" w:hAnsi="Calibri" w:eastAsia="仿宋_GB2312" w:cs="Times New Roman"/>
          <w:sz w:val="32"/>
          <w:szCs w:val="32"/>
        </w:rPr>
      </w:pPr>
      <w:r>
        <w:fldChar w:fldCharType="begin"/>
      </w:r>
      <w:r>
        <w:instrText xml:space="preserve"> HYPERLINK \l "_Toc160801318" </w:instrText>
      </w:r>
      <w:r>
        <w:fldChar w:fldCharType="separate"/>
      </w:r>
      <w:r>
        <w:rPr>
          <w:rFonts w:hint="eastAsia" w:ascii="仿宋_GB2312" w:hAnsi="宋体" w:eastAsia="仿宋_GB2312" w:cs="Times New Roman"/>
          <w:sz w:val="32"/>
          <w:szCs w:val="32"/>
          <w:u w:val="single"/>
        </w:rPr>
        <w:t xml:space="preserve">第六章  </w:t>
      </w:r>
      <w:r>
        <w:rPr>
          <w:rFonts w:hint="eastAsia" w:ascii="仿宋_GB2312" w:hAnsi="宋体" w:eastAsia="仿宋_GB2312" w:cs="Times New Roman"/>
          <w:sz w:val="32"/>
          <w:szCs w:val="32"/>
          <w:u w:val="single"/>
          <w:lang w:bidi="ar"/>
        </w:rPr>
        <w:t>保密条款</w:t>
      </w:r>
      <w:r>
        <w:rPr>
          <w:rFonts w:hint="eastAsia" w:ascii="仿宋_GB2312" w:hAnsi="宋体" w:eastAsia="仿宋_GB2312" w:cs="Times New Roman"/>
          <w:sz w:val="32"/>
          <w:szCs w:val="32"/>
        </w:rPr>
        <w:tab/>
      </w:r>
      <w:r>
        <w:rPr>
          <w:rFonts w:hint="eastAsia" w:ascii="仿宋_GB2312" w:hAnsi="宋体" w:eastAsia="仿宋_GB2312" w:cs="Times New Roman"/>
          <w:sz w:val="32"/>
          <w:szCs w:val="32"/>
        </w:rPr>
        <w:t>8</w:t>
      </w:r>
      <w:r>
        <w:rPr>
          <w:rFonts w:hint="eastAsia" w:ascii="仿宋_GB2312" w:hAnsi="宋体" w:eastAsia="仿宋_GB2312" w:cs="Times New Roman"/>
          <w:sz w:val="32"/>
          <w:szCs w:val="32"/>
        </w:rPr>
        <w:fldChar w:fldCharType="end"/>
      </w:r>
    </w:p>
    <w:p w14:paraId="0DF04CF2">
      <w:pPr>
        <w:tabs>
          <w:tab w:val="right" w:leader="dot" w:pos="8720"/>
        </w:tabs>
        <w:spacing w:line="586" w:lineRule="exact"/>
        <w:rPr>
          <w:rFonts w:ascii="仿宋_GB2312" w:hAnsi="Calibri" w:eastAsia="仿宋_GB2312" w:cs="Times New Roman"/>
          <w:sz w:val="32"/>
          <w:szCs w:val="32"/>
        </w:rPr>
      </w:pPr>
      <w:r>
        <w:fldChar w:fldCharType="begin"/>
      </w:r>
      <w:r>
        <w:instrText xml:space="preserve"> HYPERLINK \l "_Toc160801319" </w:instrText>
      </w:r>
      <w:r>
        <w:fldChar w:fldCharType="separate"/>
      </w:r>
      <w:r>
        <w:rPr>
          <w:rFonts w:hint="eastAsia" w:ascii="仿宋_GB2312" w:hAnsi="宋体" w:eastAsia="仿宋_GB2312" w:cs="Times New Roman"/>
          <w:sz w:val="32"/>
          <w:szCs w:val="32"/>
          <w:u w:val="single"/>
        </w:rPr>
        <w:t>第七章  争议的解决</w:t>
      </w:r>
      <w:r>
        <w:rPr>
          <w:rFonts w:hint="eastAsia" w:ascii="仿宋_GB2312" w:hAnsi="宋体" w:eastAsia="仿宋_GB2312" w:cs="Times New Roman"/>
          <w:sz w:val="32"/>
          <w:szCs w:val="32"/>
        </w:rPr>
        <w:tab/>
      </w:r>
      <w:r>
        <w:rPr>
          <w:rFonts w:hint="eastAsia" w:ascii="仿宋_GB2312" w:hAnsi="宋体" w:eastAsia="仿宋_GB2312" w:cs="Times New Roman"/>
          <w:sz w:val="32"/>
          <w:szCs w:val="32"/>
          <w:lang w:val="en-US" w:eastAsia="zh-CN"/>
        </w:rPr>
        <w:t>8</w:t>
      </w:r>
      <w:r>
        <w:rPr>
          <w:rFonts w:hint="eastAsia" w:ascii="仿宋_GB2312" w:hAnsi="宋体" w:eastAsia="仿宋_GB2312" w:cs="Times New Roman"/>
          <w:sz w:val="32"/>
          <w:szCs w:val="32"/>
          <w:lang w:val="en-US" w:eastAsia="zh-CN"/>
        </w:rPr>
        <w:fldChar w:fldCharType="end"/>
      </w:r>
    </w:p>
    <w:p w14:paraId="6F15737C">
      <w:pPr>
        <w:tabs>
          <w:tab w:val="right" w:leader="dot" w:pos="8720"/>
        </w:tabs>
        <w:spacing w:line="586" w:lineRule="exact"/>
        <w:rPr>
          <w:rFonts w:ascii="仿宋_GB2312" w:hAnsi="Calibri" w:eastAsia="仿宋_GB2312" w:cs="Times New Roman"/>
          <w:sz w:val="32"/>
          <w:szCs w:val="32"/>
        </w:rPr>
      </w:pPr>
      <w:r>
        <w:fldChar w:fldCharType="begin"/>
      </w:r>
      <w:r>
        <w:instrText xml:space="preserve"> HYPERLINK \l "_Toc160801320" </w:instrText>
      </w:r>
      <w:r>
        <w:fldChar w:fldCharType="separate"/>
      </w:r>
      <w:r>
        <w:rPr>
          <w:rFonts w:hint="eastAsia" w:ascii="仿宋_GB2312" w:hAnsi="宋体" w:eastAsia="仿宋_GB2312" w:cs="Times New Roman"/>
          <w:sz w:val="32"/>
          <w:szCs w:val="32"/>
          <w:u w:val="single"/>
        </w:rPr>
        <w:t>第八章  协议解除和生效</w:t>
      </w:r>
      <w:r>
        <w:rPr>
          <w:rFonts w:hint="eastAsia" w:ascii="仿宋_GB2312" w:hAnsi="宋体" w:eastAsia="仿宋_GB2312" w:cs="Times New Roman"/>
          <w:sz w:val="32"/>
          <w:szCs w:val="32"/>
        </w:rPr>
        <w:tab/>
      </w:r>
      <w:r>
        <w:rPr>
          <w:rFonts w:hint="eastAsia" w:ascii="仿宋_GB2312" w:hAnsi="宋体" w:eastAsia="仿宋_GB2312" w:cs="Times New Roman"/>
          <w:sz w:val="32"/>
          <w:szCs w:val="32"/>
          <w:lang w:val="en-US" w:eastAsia="zh-CN"/>
        </w:rPr>
        <w:t>9</w:t>
      </w:r>
      <w:r>
        <w:rPr>
          <w:rFonts w:hint="eastAsia" w:ascii="仿宋_GB2312" w:hAnsi="宋体" w:eastAsia="仿宋_GB2312" w:cs="Times New Roman"/>
          <w:sz w:val="32"/>
          <w:szCs w:val="32"/>
          <w:lang w:val="en-US" w:eastAsia="zh-CN"/>
        </w:rPr>
        <w:fldChar w:fldCharType="end"/>
      </w:r>
    </w:p>
    <w:p w14:paraId="1020FE3B">
      <w:pPr>
        <w:jc w:val="left"/>
        <w:rPr>
          <w:rFonts w:hint="eastAsia" w:ascii="黑体" w:hAnsi="黑体" w:eastAsia="黑体" w:cs="黑体"/>
          <w:bCs/>
          <w:sz w:val="36"/>
          <w:szCs w:val="36"/>
        </w:rPr>
        <w:sectPr>
          <w:footerReference r:id="rId5" w:type="default"/>
          <w:pgSz w:w="11906" w:h="16838"/>
          <w:pgMar w:top="1440" w:right="1800" w:bottom="1440" w:left="1800" w:header="851" w:footer="992" w:gutter="0"/>
          <w:pgNumType w:fmt="numberInDash" w:start="1"/>
          <w:cols w:space="425" w:num="1"/>
          <w:docGrid w:type="lines" w:linePitch="312" w:charSpace="0"/>
        </w:sectPr>
      </w:pPr>
      <w:r>
        <w:rPr>
          <w:rFonts w:hint="eastAsia" w:ascii="仿宋_GB2312" w:hAnsi="仿宋" w:eastAsia="仿宋_GB2312" w:cs="仿宋"/>
          <w:bCs/>
          <w:sz w:val="32"/>
          <w:szCs w:val="32"/>
        </w:rPr>
        <w:fldChar w:fldCharType="end"/>
      </w:r>
      <w:r>
        <w:rPr>
          <w:rFonts w:hint="eastAsia" w:ascii="黑体" w:hAnsi="黑体" w:eastAsia="黑体" w:cs="黑体"/>
          <w:bCs/>
          <w:sz w:val="36"/>
          <w:szCs w:val="36"/>
        </w:rPr>
        <w:br w:type="page"/>
      </w:r>
    </w:p>
    <w:p w14:paraId="7678E93F">
      <w:pPr>
        <w:spacing w:line="586" w:lineRule="exact"/>
        <w:ind w:firstLine="643" w:firstLineChars="200"/>
        <w:jc w:val="center"/>
        <w:rPr>
          <w:rFonts w:ascii="仿宋_GB2312" w:hAnsi="仿宋" w:eastAsia="仿宋_GB2312" w:cs="仿宋"/>
          <w:b/>
          <w:sz w:val="32"/>
          <w:szCs w:val="32"/>
        </w:rPr>
      </w:pPr>
      <w:bookmarkStart w:id="13" w:name="_Toc160801312"/>
      <w:r>
        <w:rPr>
          <w:rFonts w:hint="eastAsia" w:ascii="仿宋_GB2312" w:hAnsi="仿宋" w:eastAsia="仿宋_GB2312" w:cs="仿宋"/>
          <w:b/>
          <w:sz w:val="32"/>
          <w:szCs w:val="32"/>
        </w:rPr>
        <w:t>第一章  基本信息</w:t>
      </w:r>
      <w:bookmarkEnd w:id="13"/>
    </w:p>
    <w:p w14:paraId="64E6D678">
      <w:pPr>
        <w:spacing w:line="586" w:lineRule="exact"/>
        <w:rPr>
          <w:rFonts w:ascii="宋体" w:hAnsi="宋体" w:eastAsia="宋体" w:cs="Times New Roman"/>
          <w:szCs w:val="20"/>
        </w:rPr>
      </w:pPr>
    </w:p>
    <w:p w14:paraId="62F8FB6A">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可调资源用户虚拟电厂运营商与代理服务协议（以下简称本协议）由以下双方签署：</w:t>
      </w:r>
    </w:p>
    <w:p w14:paraId="19B97CE6">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甲方为具备灵活性调节能力且被乙方虚拟电厂运营商代理的聚合对象。</w:t>
      </w:r>
    </w:p>
    <w:p w14:paraId="5430AC92">
      <w:pPr>
        <w:spacing w:line="586" w:lineRule="exact"/>
        <w:ind w:firstLine="640" w:firstLineChars="200"/>
        <w:rPr>
          <w:rFonts w:ascii="仿宋_GB2312" w:hAnsi="仿宋" w:eastAsia="仿宋_GB2312" w:cs="仿宋"/>
          <w:bCs/>
          <w:sz w:val="32"/>
          <w:szCs w:val="32"/>
          <w:u w:val="single"/>
        </w:rPr>
      </w:pPr>
      <w:r>
        <w:rPr>
          <w:rFonts w:hint="eastAsia" w:ascii="仿宋_GB2312" w:hAnsi="仿宋" w:eastAsia="仿宋_GB2312" w:cs="仿宋"/>
          <w:bCs/>
          <w:sz w:val="32"/>
          <w:szCs w:val="32"/>
        </w:rPr>
        <w:t>甲方（可调资源用户）：</w:t>
      </w:r>
      <w:r>
        <w:rPr>
          <w:rFonts w:hint="eastAsia" w:ascii="仿宋_GB2312" w:hAnsi="仿宋" w:eastAsia="仿宋_GB2312" w:cs="仿宋"/>
          <w:bCs/>
          <w:sz w:val="32"/>
          <w:szCs w:val="32"/>
          <w:u w:val="single"/>
        </w:rPr>
        <w:t xml:space="preserve">                           </w:t>
      </w:r>
    </w:p>
    <w:p w14:paraId="2E340CB1">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用户编号：</w:t>
      </w:r>
      <w:r>
        <w:rPr>
          <w:rFonts w:hint="eastAsia" w:ascii="仿宋_GB2312" w:hAnsi="仿宋" w:eastAsia="仿宋_GB2312" w:cs="仿宋"/>
          <w:bCs/>
          <w:sz w:val="32"/>
          <w:szCs w:val="32"/>
          <w:u w:val="single"/>
        </w:rPr>
        <w:t xml:space="preserve">                                      </w:t>
      </w:r>
    </w:p>
    <w:p w14:paraId="7489D62B">
      <w:pPr>
        <w:spacing w:line="58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企业地址：</w:t>
      </w:r>
      <w:r>
        <w:rPr>
          <w:rFonts w:hint="eastAsia" w:ascii="仿宋_GB2312" w:hAnsi="仿宋_GB2312" w:eastAsia="仿宋_GB2312" w:cs="仿宋_GB2312"/>
          <w:sz w:val="32"/>
          <w:szCs w:val="32"/>
          <w:u w:val="single"/>
        </w:rPr>
        <w:t xml:space="preserve">                                      </w:t>
      </w:r>
    </w:p>
    <w:p w14:paraId="474EDEAA">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统一社会信用代码：</w:t>
      </w:r>
      <w:r>
        <w:rPr>
          <w:rFonts w:hint="eastAsia" w:ascii="仿宋_GB2312" w:hAnsi="仿宋" w:eastAsia="仿宋_GB2312" w:cs="仿宋"/>
          <w:bCs/>
          <w:sz w:val="32"/>
          <w:szCs w:val="32"/>
          <w:u w:val="single"/>
        </w:rPr>
        <w:t xml:space="preserve">                              </w:t>
      </w:r>
    </w:p>
    <w:p w14:paraId="6C193953">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法定代表人/授权代理人：</w:t>
      </w:r>
      <w:r>
        <w:rPr>
          <w:rFonts w:hint="eastAsia" w:ascii="仿宋_GB2312" w:hAnsi="仿宋" w:eastAsia="仿宋_GB2312" w:cs="仿宋"/>
          <w:bCs/>
          <w:sz w:val="32"/>
          <w:szCs w:val="32"/>
          <w:u w:val="single"/>
        </w:rPr>
        <w:t xml:space="preserve">                         </w:t>
      </w:r>
    </w:p>
    <w:p w14:paraId="06410233">
      <w:pPr>
        <w:spacing w:line="586" w:lineRule="exact"/>
        <w:ind w:firstLine="640" w:firstLineChars="200"/>
        <w:rPr>
          <w:rFonts w:ascii="仿宋_GB2312" w:hAnsi="宋体" w:eastAsia="仿宋_GB2312" w:cs="Times New Roman"/>
          <w:sz w:val="32"/>
          <w:szCs w:val="32"/>
        </w:rPr>
      </w:pPr>
      <w:r>
        <w:rPr>
          <w:rFonts w:hint="eastAsia" w:ascii="仿宋_GB2312" w:hAnsi="仿宋" w:eastAsia="仿宋_GB2312" w:cs="仿宋"/>
          <w:bCs/>
          <w:sz w:val="32"/>
          <w:szCs w:val="32"/>
        </w:rPr>
        <w:t>身份证号码：</w:t>
      </w:r>
      <w:r>
        <w:rPr>
          <w:rFonts w:hint="eastAsia" w:ascii="仿宋_GB2312" w:hAnsi="仿宋" w:eastAsia="仿宋_GB2312" w:cs="仿宋"/>
          <w:bCs/>
          <w:sz w:val="32"/>
          <w:szCs w:val="32"/>
          <w:u w:val="single"/>
        </w:rPr>
        <w:t xml:space="preserve">                                    </w:t>
      </w:r>
    </w:p>
    <w:p w14:paraId="2F435E9B">
      <w:pPr>
        <w:spacing w:line="586" w:lineRule="exact"/>
        <w:ind w:firstLine="640" w:firstLineChars="200"/>
        <w:rPr>
          <w:rFonts w:ascii="仿宋_GB2312" w:hAnsi="仿宋" w:eastAsia="仿宋_GB2312" w:cs="仿宋"/>
          <w:bCs/>
          <w:sz w:val="32"/>
          <w:szCs w:val="32"/>
          <w:u w:val="single"/>
        </w:rPr>
      </w:pPr>
      <w:r>
        <w:rPr>
          <w:rFonts w:hint="eastAsia" w:ascii="仿宋_GB2312" w:hAnsi="仿宋" w:eastAsia="仿宋_GB2312" w:cs="仿宋"/>
          <w:bCs/>
          <w:sz w:val="32"/>
          <w:szCs w:val="32"/>
        </w:rPr>
        <w:t>联系人：</w:t>
      </w:r>
      <w:r>
        <w:rPr>
          <w:rFonts w:hint="eastAsia" w:ascii="仿宋_GB2312" w:hAnsi="仿宋" w:eastAsia="仿宋_GB2312" w:cs="仿宋"/>
          <w:bCs/>
          <w:sz w:val="32"/>
          <w:szCs w:val="32"/>
          <w:u w:val="single"/>
        </w:rPr>
        <w:t xml:space="preserve">                   </w:t>
      </w:r>
    </w:p>
    <w:p w14:paraId="0499BA91">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手机：</w:t>
      </w:r>
      <w:r>
        <w:rPr>
          <w:rFonts w:hint="eastAsia" w:ascii="仿宋_GB2312" w:hAnsi="仿宋" w:eastAsia="仿宋_GB2312" w:cs="仿宋"/>
          <w:bCs/>
          <w:sz w:val="32"/>
          <w:szCs w:val="32"/>
          <w:u w:val="single"/>
        </w:rPr>
        <w:t xml:space="preserve">                     </w:t>
      </w:r>
    </w:p>
    <w:p w14:paraId="584A3FDF">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通信地址：</w:t>
      </w:r>
      <w:r>
        <w:rPr>
          <w:rFonts w:hint="eastAsia" w:ascii="仿宋_GB2312" w:hAnsi="仿宋" w:eastAsia="仿宋_GB2312" w:cs="仿宋"/>
          <w:bCs/>
          <w:sz w:val="32"/>
          <w:szCs w:val="32"/>
          <w:u w:val="single"/>
        </w:rPr>
        <w:t xml:space="preserve">                                      </w:t>
      </w:r>
    </w:p>
    <w:p w14:paraId="6AC42664">
      <w:pPr>
        <w:spacing w:line="586" w:lineRule="exact"/>
        <w:ind w:firstLine="640" w:firstLineChars="200"/>
        <w:rPr>
          <w:rFonts w:ascii="仿宋_GB2312" w:hAnsi="仿宋" w:eastAsia="仿宋_GB2312" w:cs="仿宋"/>
          <w:bCs/>
          <w:sz w:val="32"/>
          <w:szCs w:val="32"/>
        </w:rPr>
      </w:pPr>
    </w:p>
    <w:p w14:paraId="3EA11F14">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乙方为符合广州市电力响应服务准入条件的虚拟电厂运营商，具备参与广州市电力响应服务资格。</w:t>
      </w:r>
    </w:p>
    <w:p w14:paraId="15E7DF0F">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乙方（虚拟电厂运营商）：</w:t>
      </w:r>
      <w:r>
        <w:rPr>
          <w:rFonts w:hint="eastAsia" w:ascii="仿宋_GB2312" w:hAnsi="仿宋" w:eastAsia="仿宋_GB2312" w:cs="仿宋"/>
          <w:bCs/>
          <w:sz w:val="32"/>
          <w:szCs w:val="32"/>
          <w:u w:val="single"/>
        </w:rPr>
        <w:t xml:space="preserve">                              </w:t>
      </w:r>
    </w:p>
    <w:p w14:paraId="5618B7F5">
      <w:pPr>
        <w:spacing w:line="58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企业地址：</w:t>
      </w:r>
      <w:r>
        <w:rPr>
          <w:rFonts w:hint="eastAsia" w:ascii="仿宋_GB2312" w:hAnsi="仿宋_GB2312" w:eastAsia="仿宋_GB2312" w:cs="仿宋_GB2312"/>
          <w:sz w:val="32"/>
          <w:szCs w:val="32"/>
          <w:u w:val="single"/>
        </w:rPr>
        <w:t xml:space="preserve">                                      </w:t>
      </w:r>
    </w:p>
    <w:p w14:paraId="5F375749">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统一社会信用代码：</w:t>
      </w:r>
      <w:r>
        <w:rPr>
          <w:rFonts w:hint="eastAsia" w:ascii="仿宋_GB2312" w:hAnsi="仿宋" w:eastAsia="仿宋_GB2312" w:cs="仿宋"/>
          <w:bCs/>
          <w:sz w:val="32"/>
          <w:szCs w:val="32"/>
          <w:u w:val="single"/>
        </w:rPr>
        <w:t xml:space="preserve">                              </w:t>
      </w:r>
    </w:p>
    <w:p w14:paraId="3E11308F">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法定代表人/授权代理人：</w:t>
      </w:r>
      <w:r>
        <w:rPr>
          <w:rFonts w:hint="eastAsia" w:ascii="仿宋_GB2312" w:hAnsi="仿宋" w:eastAsia="仿宋_GB2312" w:cs="仿宋"/>
          <w:bCs/>
          <w:sz w:val="32"/>
          <w:szCs w:val="32"/>
          <w:u w:val="single"/>
        </w:rPr>
        <w:t xml:space="preserve">                         </w:t>
      </w:r>
    </w:p>
    <w:p w14:paraId="31AC8752">
      <w:pPr>
        <w:spacing w:line="586" w:lineRule="exact"/>
        <w:ind w:firstLine="640" w:firstLineChars="200"/>
        <w:rPr>
          <w:rFonts w:ascii="仿宋_GB2312" w:hAnsi="宋体" w:eastAsia="仿宋_GB2312" w:cs="Times New Roman"/>
          <w:sz w:val="32"/>
          <w:szCs w:val="32"/>
        </w:rPr>
      </w:pPr>
      <w:r>
        <w:rPr>
          <w:rFonts w:hint="eastAsia" w:ascii="仿宋_GB2312" w:hAnsi="仿宋" w:eastAsia="仿宋_GB2312" w:cs="仿宋"/>
          <w:bCs/>
          <w:sz w:val="32"/>
          <w:szCs w:val="32"/>
        </w:rPr>
        <w:t>身份证号码：</w:t>
      </w:r>
      <w:r>
        <w:rPr>
          <w:rFonts w:hint="eastAsia" w:ascii="仿宋_GB2312" w:hAnsi="仿宋" w:eastAsia="仿宋_GB2312" w:cs="仿宋"/>
          <w:bCs/>
          <w:sz w:val="32"/>
          <w:szCs w:val="32"/>
          <w:u w:val="single"/>
        </w:rPr>
        <w:t xml:space="preserve">                                    </w:t>
      </w:r>
    </w:p>
    <w:p w14:paraId="1DC5843C">
      <w:pPr>
        <w:spacing w:line="586" w:lineRule="exact"/>
        <w:ind w:firstLine="640" w:firstLineChars="200"/>
        <w:rPr>
          <w:rFonts w:ascii="仿宋_GB2312" w:hAnsi="仿宋" w:eastAsia="仿宋_GB2312" w:cs="仿宋"/>
          <w:bCs/>
          <w:sz w:val="32"/>
          <w:szCs w:val="32"/>
          <w:u w:val="single"/>
        </w:rPr>
      </w:pPr>
      <w:r>
        <w:rPr>
          <w:rFonts w:hint="eastAsia" w:ascii="仿宋_GB2312" w:hAnsi="仿宋" w:eastAsia="仿宋_GB2312" w:cs="仿宋"/>
          <w:bCs/>
          <w:sz w:val="32"/>
          <w:szCs w:val="32"/>
        </w:rPr>
        <w:t>联系人：</w:t>
      </w:r>
      <w:r>
        <w:rPr>
          <w:rFonts w:hint="eastAsia" w:ascii="仿宋_GB2312" w:hAnsi="仿宋" w:eastAsia="仿宋_GB2312" w:cs="仿宋"/>
          <w:bCs/>
          <w:sz w:val="32"/>
          <w:szCs w:val="32"/>
          <w:u w:val="single"/>
        </w:rPr>
        <w:t xml:space="preserve">                   </w:t>
      </w:r>
    </w:p>
    <w:p w14:paraId="17BF548F">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手机：</w:t>
      </w:r>
      <w:r>
        <w:rPr>
          <w:rFonts w:hint="eastAsia" w:ascii="仿宋_GB2312" w:hAnsi="仿宋" w:eastAsia="仿宋_GB2312" w:cs="仿宋"/>
          <w:bCs/>
          <w:sz w:val="32"/>
          <w:szCs w:val="32"/>
          <w:u w:val="single"/>
        </w:rPr>
        <w:t xml:space="preserve">                     </w:t>
      </w:r>
    </w:p>
    <w:p w14:paraId="690AAF6C">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通信地址：</w:t>
      </w:r>
      <w:r>
        <w:rPr>
          <w:rFonts w:hint="eastAsia" w:ascii="仿宋_GB2312" w:hAnsi="仿宋" w:eastAsia="仿宋_GB2312" w:cs="仿宋"/>
          <w:bCs/>
          <w:sz w:val="32"/>
          <w:szCs w:val="32"/>
          <w:u w:val="single"/>
        </w:rPr>
        <w:t xml:space="preserve">                                      </w:t>
      </w:r>
    </w:p>
    <w:p w14:paraId="27706F96">
      <w:pPr>
        <w:spacing w:line="586" w:lineRule="exact"/>
        <w:ind w:firstLine="643" w:firstLineChars="200"/>
        <w:jc w:val="center"/>
        <w:rPr>
          <w:rFonts w:ascii="仿宋_GB2312" w:hAnsi="仿宋" w:eastAsia="仿宋_GB2312" w:cs="仿宋"/>
          <w:b/>
          <w:sz w:val="32"/>
          <w:szCs w:val="32"/>
        </w:rPr>
      </w:pPr>
      <w:bookmarkStart w:id="14" w:name="_Toc160801314"/>
    </w:p>
    <w:p w14:paraId="1326FBC4">
      <w:pPr>
        <w:spacing w:line="586" w:lineRule="exact"/>
        <w:ind w:firstLine="643" w:firstLineChars="200"/>
        <w:jc w:val="center"/>
        <w:rPr>
          <w:rFonts w:ascii="宋体" w:hAnsi="宋体" w:eastAsia="宋体" w:cs="Times New Roman"/>
          <w:szCs w:val="20"/>
        </w:rPr>
      </w:pPr>
      <w:r>
        <w:rPr>
          <w:rFonts w:hint="eastAsia" w:ascii="仿宋_GB2312" w:hAnsi="仿宋" w:eastAsia="仿宋_GB2312" w:cs="仿宋"/>
          <w:b/>
          <w:sz w:val="32"/>
          <w:szCs w:val="32"/>
        </w:rPr>
        <w:t>第二章  双方陈述</w:t>
      </w:r>
      <w:bookmarkEnd w:id="14"/>
    </w:p>
    <w:p w14:paraId="0F5C41B2">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甲、乙双方任何一方在此向对方陈述如下：</w:t>
      </w:r>
    </w:p>
    <w:p w14:paraId="7D555826">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2.1 本方为一家依法设立并合法存续的企业，有权签署并有能力履行本协议。</w:t>
      </w:r>
    </w:p>
    <w:p w14:paraId="160CD0C7">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2.2本方签署和履行本协议所需的一切手续（包括办理必要的政府批准、取得营业执照等）均合法有效。</w:t>
      </w:r>
    </w:p>
    <w:p w14:paraId="71FF9682">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2.3在签署本协议时，本方无法院、仲裁机构、行政机关做出的任何重大不利影响的判决、裁定、裁决。</w:t>
      </w:r>
    </w:p>
    <w:p w14:paraId="73CC8D97">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2.4本方为签署本协议所需的内部授权程序均已完成，签署本协议的是本方法定代表人或授权代理人，本协议生效后即对双方具有法律效力。</w:t>
      </w:r>
    </w:p>
    <w:p w14:paraId="2A22D5AD">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2.5本方签署的协议内容符合国家的法律、法规以及广州市电力响应服务的相关要求。</w:t>
      </w:r>
    </w:p>
    <w:p w14:paraId="506F77AA">
      <w:pPr>
        <w:spacing w:line="586" w:lineRule="exact"/>
        <w:ind w:firstLine="640" w:firstLineChars="200"/>
        <w:rPr>
          <w:rFonts w:ascii="仿宋_GB2312" w:hAnsi="仿宋" w:eastAsia="仿宋_GB2312" w:cs="仿宋"/>
          <w:bCs/>
          <w:sz w:val="32"/>
          <w:szCs w:val="32"/>
        </w:rPr>
      </w:pPr>
    </w:p>
    <w:p w14:paraId="7DD6FB6A">
      <w:pPr>
        <w:spacing w:line="586" w:lineRule="exact"/>
        <w:ind w:firstLine="643" w:firstLineChars="200"/>
        <w:jc w:val="center"/>
        <w:rPr>
          <w:rFonts w:ascii="仿宋_GB2312" w:hAnsi="仿宋" w:eastAsia="仿宋_GB2312" w:cs="仿宋"/>
          <w:b/>
          <w:sz w:val="32"/>
          <w:szCs w:val="32"/>
        </w:rPr>
      </w:pPr>
      <w:bookmarkStart w:id="15" w:name="_Toc160801315"/>
      <w:r>
        <w:rPr>
          <w:rFonts w:hint="eastAsia" w:ascii="仿宋_GB2312" w:hAnsi="仿宋" w:eastAsia="仿宋_GB2312" w:cs="仿宋"/>
          <w:b/>
          <w:sz w:val="32"/>
          <w:szCs w:val="32"/>
        </w:rPr>
        <w:t>第三章  双方的权利和义务</w:t>
      </w:r>
      <w:bookmarkEnd w:id="15"/>
    </w:p>
    <w:p w14:paraId="3E104330">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3.1甲方的权利与义务包括：</w:t>
      </w:r>
    </w:p>
    <w:p w14:paraId="1468E28D">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3.1.1委</w:t>
      </w:r>
      <w:r>
        <w:rPr>
          <w:rFonts w:hint="eastAsia" w:ascii="仿宋_GB2312" w:hAnsi="宋体" w:eastAsia="仿宋_GB2312" w:cs="Times New Roman"/>
          <w:spacing w:val="-6"/>
          <w:sz w:val="32"/>
          <w:szCs w:val="32"/>
        </w:rPr>
        <w:t>托乙方代为办理广州市电力响应服务各项业务。</w:t>
      </w:r>
    </w:p>
    <w:p w14:paraId="730000F3">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3.1.2全力配合</w:t>
      </w:r>
      <w:r>
        <w:rPr>
          <w:rFonts w:hint="eastAsia" w:ascii="仿宋_GB2312" w:hAnsi="宋体" w:eastAsia="仿宋_GB2312" w:cs="Times New Roman"/>
          <w:spacing w:val="-6"/>
          <w:sz w:val="32"/>
          <w:szCs w:val="32"/>
        </w:rPr>
        <w:t>乙</w:t>
      </w:r>
      <w:r>
        <w:rPr>
          <w:rFonts w:hint="eastAsia" w:ascii="仿宋_GB2312" w:hAnsi="宋体" w:eastAsia="仿宋_GB2312" w:cs="Times New Roman"/>
          <w:sz w:val="32"/>
          <w:szCs w:val="32"/>
        </w:rPr>
        <w:t>方做好数据采集及相关资料收集工作。</w:t>
      </w:r>
    </w:p>
    <w:p w14:paraId="61D73978">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3.1.3配合根据实际情况积极响应</w:t>
      </w:r>
      <w:r>
        <w:rPr>
          <w:rFonts w:hint="eastAsia" w:ascii="仿宋_GB2312" w:hAnsi="宋体" w:eastAsia="仿宋_GB2312" w:cs="Times New Roman"/>
          <w:spacing w:val="-6"/>
          <w:sz w:val="32"/>
          <w:szCs w:val="32"/>
        </w:rPr>
        <w:t>乙</w:t>
      </w:r>
      <w:r>
        <w:rPr>
          <w:rFonts w:hint="eastAsia" w:ascii="仿宋_GB2312" w:hAnsi="宋体" w:eastAsia="仿宋_GB2312" w:cs="Times New Roman"/>
          <w:sz w:val="32"/>
          <w:szCs w:val="32"/>
        </w:rPr>
        <w:t>方的响应服务邀约。</w:t>
      </w:r>
    </w:p>
    <w:p w14:paraId="1EE7803C">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3.1.4遵守广州市电力响应服务运行规则，负责运行、维护有关用电、发电和储能设施，根据与</w:t>
      </w:r>
      <w:r>
        <w:rPr>
          <w:rFonts w:hint="eastAsia" w:ascii="仿宋_GB2312" w:hAnsi="宋体" w:eastAsia="仿宋_GB2312" w:cs="Times New Roman"/>
          <w:spacing w:val="-6"/>
          <w:sz w:val="32"/>
          <w:szCs w:val="32"/>
        </w:rPr>
        <w:t>乙</w:t>
      </w:r>
      <w:r>
        <w:rPr>
          <w:rFonts w:hint="eastAsia" w:ascii="仿宋_GB2312" w:hAnsi="宋体" w:eastAsia="仿宋_GB2312" w:cs="Times New Roman"/>
          <w:sz w:val="32"/>
          <w:szCs w:val="32"/>
        </w:rPr>
        <w:t>方协商确定的调节计划，在要求时间内自觉实施对用电、发电及储能设施的运行调节，保证响应指令执行到位。</w:t>
      </w:r>
    </w:p>
    <w:p w14:paraId="43BFD3FC">
      <w:pPr>
        <w:spacing w:line="586" w:lineRule="exact"/>
        <w:ind w:firstLine="640" w:firstLineChars="200"/>
        <w:rPr>
          <w:rFonts w:ascii="仿宋_GB2312" w:hAnsi="仿宋" w:eastAsia="仿宋_GB2312" w:cs="仿宋"/>
          <w:bCs/>
          <w:sz w:val="32"/>
          <w:szCs w:val="32"/>
        </w:rPr>
      </w:pPr>
      <w:r>
        <w:rPr>
          <w:rFonts w:hint="eastAsia" w:ascii="仿宋_GB2312" w:hAnsi="宋体" w:eastAsia="仿宋_GB2312" w:cs="Times New Roman"/>
          <w:sz w:val="32"/>
          <w:szCs w:val="32"/>
        </w:rPr>
        <w:t>3.1.5当出现无法履行协议义务的情况时，必须及时书面告知乙方，并处理好相关事宜。</w:t>
      </w:r>
    </w:p>
    <w:p w14:paraId="25B75F08">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3.2乙方的权利与义务包括：</w:t>
      </w:r>
    </w:p>
    <w:p w14:paraId="68743653">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3.2.1代理甲方参与广州市电力响应服务。原则上不影响甲方正常生产、运行。乙方应向甲方明确响应执行涉及的具体用电设备（线路）范围和对甲方可能带来的影响，确保甲方知情权和用电、生产安全，以及向甲方提供与履行本协议相关的其他信息。</w:t>
      </w:r>
    </w:p>
    <w:p w14:paraId="4105417E">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3.2.2获得或查阅甲方履行本协议义务相关的信息，包括但不限于：用电户号、用电性质、响应持续时间、最大及最小响应能力等生产运行用电信息，以及基线负荷、计量、响应结算等数据。</w:t>
      </w:r>
    </w:p>
    <w:p w14:paraId="7E0714E6">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3.2.3聚合甲方可响应资源（资源清单见附录1），需如实向甲方宣传解释参与广州市电力响应服务的方案、规则、流程等要求，协助甲方完成响应服务策略制定及实施。</w:t>
      </w:r>
    </w:p>
    <w:p w14:paraId="39475AE2">
      <w:pPr>
        <w:spacing w:line="58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3.2.4获取并确认广州市电力响应服务相关管理机构预结算结果后，根据本协议中的收益分配方式计算双方收益，及时向甲方反馈。</w:t>
      </w:r>
    </w:p>
    <w:p w14:paraId="49AF3B7B">
      <w:pPr>
        <w:spacing w:line="586" w:lineRule="exact"/>
        <w:ind w:firstLine="643" w:firstLineChars="200"/>
        <w:jc w:val="center"/>
        <w:rPr>
          <w:rFonts w:ascii="仿宋_GB2312" w:hAnsi="仿宋" w:eastAsia="仿宋_GB2312" w:cs="仿宋"/>
          <w:b/>
          <w:sz w:val="32"/>
          <w:szCs w:val="32"/>
        </w:rPr>
      </w:pPr>
      <w:bookmarkStart w:id="16" w:name="_Toc160801316"/>
      <w:r>
        <w:rPr>
          <w:rFonts w:hint="eastAsia" w:ascii="仿宋_GB2312" w:hAnsi="仿宋" w:eastAsia="仿宋_GB2312" w:cs="仿宋"/>
          <w:b/>
          <w:sz w:val="32"/>
          <w:szCs w:val="32"/>
        </w:rPr>
        <w:t>第四章  协议有效期</w:t>
      </w:r>
      <w:bookmarkEnd w:id="16"/>
    </w:p>
    <w:p w14:paraId="2E54BF1C">
      <w:pPr>
        <w:spacing w:line="586" w:lineRule="exact"/>
        <w:ind w:firstLine="640" w:firstLineChars="200"/>
        <w:jc w:val="left"/>
        <w:rPr>
          <w:rFonts w:ascii="仿宋_GB2312" w:hAnsi="仿宋" w:eastAsia="仿宋_GB2312" w:cs="仿宋"/>
          <w:bCs/>
          <w:sz w:val="32"/>
          <w:szCs w:val="32"/>
        </w:rPr>
      </w:pPr>
      <w:r>
        <w:rPr>
          <w:rFonts w:hint="eastAsia" w:ascii="仿宋_GB2312" w:hAnsi="仿宋" w:eastAsia="仿宋_GB2312" w:cs="仿宋"/>
          <w:bCs/>
          <w:sz w:val="32"/>
          <w:szCs w:val="32"/>
        </w:rPr>
        <w:t>4.1甲乙双方约定协议有效期为</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年，即自本协议签署之日起至</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年</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月</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日。</w:t>
      </w:r>
    </w:p>
    <w:p w14:paraId="5F1ECF46">
      <w:pPr>
        <w:spacing w:line="586" w:lineRule="exact"/>
        <w:ind w:firstLine="643" w:firstLineChars="200"/>
        <w:jc w:val="center"/>
        <w:rPr>
          <w:rFonts w:ascii="仿宋_GB2312" w:hAnsi="仿宋" w:eastAsia="仿宋_GB2312" w:cs="仿宋"/>
          <w:b/>
          <w:sz w:val="32"/>
          <w:szCs w:val="32"/>
        </w:rPr>
      </w:pPr>
      <w:bookmarkStart w:id="17" w:name="_Toc160801317"/>
      <w:r>
        <w:rPr>
          <w:rFonts w:hint="eastAsia" w:ascii="仿宋_GB2312" w:hAnsi="仿宋" w:eastAsia="仿宋_GB2312" w:cs="仿宋"/>
          <w:b/>
          <w:sz w:val="32"/>
          <w:szCs w:val="32"/>
        </w:rPr>
        <w:t>第五章  收益分配及方式</w:t>
      </w:r>
      <w:bookmarkEnd w:id="17"/>
    </w:p>
    <w:p w14:paraId="221FA74D">
      <w:pPr>
        <w:spacing w:line="586" w:lineRule="exact"/>
        <w:ind w:firstLine="640" w:firstLineChars="200"/>
        <w:rPr>
          <w:rFonts w:ascii="仿宋_GB2312" w:hAnsi="宋体" w:eastAsia="仿宋_GB2312" w:cs="Times New Roman"/>
          <w:sz w:val="32"/>
          <w:szCs w:val="32"/>
        </w:rPr>
      </w:pPr>
      <w:r>
        <w:rPr>
          <w:rFonts w:hint="eastAsia" w:ascii="仿宋_GB2312" w:hAnsi="仿宋_GB2312" w:eastAsia="仿宋_GB2312" w:cs="仿宋_GB2312"/>
          <w:sz w:val="32"/>
          <w:szCs w:val="32"/>
        </w:rPr>
        <w:t>5.1 基线负荷、补贴价格、调节容量、有效响应容量等数据以运行电厂运行机构公布为准，以此开展电力响应服务结算并向乙方出具响应结算依据。</w:t>
      </w:r>
    </w:p>
    <w:p w14:paraId="15E1D84F">
      <w:pPr>
        <w:tabs>
          <w:tab w:val="left" w:pos="0"/>
        </w:tabs>
        <w:spacing w:line="560" w:lineRule="exact"/>
        <w:ind w:firstLine="640" w:firstLineChars="200"/>
        <w:rPr>
          <w:rFonts w:ascii="仿宋_GB2312" w:hAnsi="仿宋_GB2312" w:eastAsia="仿宋_GB2312" w:cs="仿宋_GB2312"/>
          <w:sz w:val="32"/>
          <w:szCs w:val="32"/>
        </w:rPr>
      </w:pPr>
      <w:r>
        <w:rPr>
          <w:rFonts w:hint="eastAsia" w:ascii="仿宋_GB2312" w:hAnsi="仿宋" w:eastAsia="仿宋_GB2312" w:cs="仿宋"/>
          <w:bCs/>
          <w:sz w:val="32"/>
          <w:szCs w:val="32"/>
        </w:rPr>
        <w:t>5.2甲乙双</w:t>
      </w:r>
      <w:r>
        <w:rPr>
          <w:rFonts w:hint="eastAsia" w:ascii="仿宋_GB2312" w:hAnsi="仿宋_GB2312" w:eastAsia="仿宋_GB2312" w:cs="仿宋_GB2312"/>
          <w:sz w:val="32"/>
          <w:szCs w:val="32"/>
        </w:rPr>
        <w:t>方按以下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方式进行广州市电力响应服务代理结算（三选一）：</w:t>
      </w:r>
    </w:p>
    <w:p w14:paraId="142EED40">
      <w:pPr>
        <w:numPr>
          <w:ilvl w:val="2"/>
          <w:numId w:val="10"/>
        </w:num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结算费用的分配比例为：甲方为</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%，乙方为</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%。（限制范围为0%～100%）</w:t>
      </w:r>
    </w:p>
    <w:p w14:paraId="07E6BB80">
      <w:pPr>
        <w:numPr>
          <w:ilvl w:val="2"/>
          <w:numId w:val="10"/>
        </w:num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按固定价格结算费用。其中，有功调节：</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元/兆瓦时，备用服务：</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元/兆瓦时，无功调节：</w:t>
      </w:r>
      <w:r>
        <w:rPr>
          <w:rFonts w:hint="eastAsia" w:ascii="仿宋_GB2312" w:hAnsi="仿宋" w:eastAsia="仿宋_GB2312" w:cs="仿宋"/>
          <w:bCs/>
          <w:sz w:val="32"/>
          <w:szCs w:val="32"/>
          <w:u w:val="single"/>
        </w:rPr>
        <w:t xml:space="preserve">       </w:t>
      </w:r>
      <w:r>
        <w:rPr>
          <w:rFonts w:hint="eastAsia" w:ascii="仿宋_GB2312" w:hAnsi="仿宋" w:eastAsia="仿宋_GB2312" w:cs="仿宋"/>
          <w:bCs/>
          <w:sz w:val="32"/>
          <w:szCs w:val="32"/>
        </w:rPr>
        <w:t>元/兆瓦时。（含收益/考核）</w:t>
      </w:r>
    </w:p>
    <w:p w14:paraId="1A4E873F">
      <w:pPr>
        <w:numPr>
          <w:ilvl w:val="2"/>
          <w:numId w:val="10"/>
        </w:numPr>
        <w:spacing w:line="586" w:lineRule="exact"/>
        <w:ind w:firstLine="640" w:firstLineChars="200"/>
        <w:rPr>
          <w:rFonts w:ascii="仿宋_GB2312" w:hAnsi="仿宋" w:eastAsia="仿宋_GB2312" w:cs="仿宋"/>
          <w:bCs/>
          <w:sz w:val="32"/>
          <w:szCs w:val="32"/>
          <w:u w:val="single"/>
        </w:rPr>
      </w:pPr>
      <w:r>
        <w:rPr>
          <w:rFonts w:hint="eastAsia" w:ascii="仿宋_GB2312" w:hAnsi="仿宋" w:eastAsia="仿宋_GB2312" w:cs="仿宋"/>
          <w:bCs/>
          <w:sz w:val="32"/>
          <w:szCs w:val="32"/>
        </w:rPr>
        <w:t>其他</w:t>
      </w:r>
      <w:r>
        <w:rPr>
          <w:rFonts w:hint="eastAsia" w:ascii="仿宋_GB2312" w:hAnsi="仿宋" w:eastAsia="仿宋_GB2312" w:cs="仿宋"/>
          <w:bCs/>
          <w:sz w:val="32"/>
          <w:szCs w:val="32"/>
          <w:u w:val="single"/>
        </w:rPr>
        <w:t xml:space="preserve">                                   </w:t>
      </w:r>
    </w:p>
    <w:p w14:paraId="3C297539">
      <w:pPr>
        <w:spacing w:line="58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5.3广州市电力响应服务费用结算不改变正常供用电结算关系，与</w:t>
      </w:r>
      <w:r>
        <w:rPr>
          <w:rFonts w:hint="eastAsia" w:ascii="仿宋_GB2312" w:hAnsi="宋体" w:eastAsia="仿宋_GB2312" w:cs="Times New Roman"/>
          <w:sz w:val="32"/>
          <w:szCs w:val="32"/>
        </w:rPr>
        <w:t>甲方</w:t>
      </w:r>
      <w:r>
        <w:rPr>
          <w:rFonts w:hint="eastAsia" w:ascii="仿宋_GB2312" w:hAnsi="仿宋_GB2312" w:eastAsia="仿宋_GB2312" w:cs="仿宋_GB2312"/>
          <w:sz w:val="32"/>
          <w:szCs w:val="32"/>
        </w:rPr>
        <w:t>正常电费结算相互独立、互不影响。</w:t>
      </w:r>
    </w:p>
    <w:p w14:paraId="4768EE43">
      <w:pPr>
        <w:spacing w:line="586" w:lineRule="exact"/>
        <w:ind w:firstLine="640" w:firstLineChars="200"/>
        <w:rPr>
          <w:rFonts w:ascii="仿宋_GB2312" w:hAnsi="仿宋_GB2312" w:eastAsia="仿宋_GB2312" w:cs="仿宋_GB2312"/>
          <w:sz w:val="32"/>
          <w:szCs w:val="32"/>
        </w:rPr>
      </w:pPr>
    </w:p>
    <w:p w14:paraId="3027A564">
      <w:pPr>
        <w:spacing w:line="586" w:lineRule="exact"/>
        <w:ind w:firstLine="643" w:firstLineChars="200"/>
        <w:jc w:val="center"/>
        <w:rPr>
          <w:rFonts w:ascii="仿宋_GB2312" w:hAnsi="仿宋" w:eastAsia="仿宋_GB2312" w:cs="仿宋"/>
          <w:b/>
          <w:sz w:val="32"/>
          <w:szCs w:val="32"/>
        </w:rPr>
      </w:pPr>
      <w:bookmarkStart w:id="18" w:name="_Toc160801318"/>
      <w:r>
        <w:rPr>
          <w:rFonts w:hint="eastAsia" w:ascii="仿宋_GB2312" w:hAnsi="仿宋" w:eastAsia="仿宋_GB2312" w:cs="仿宋"/>
          <w:b/>
          <w:sz w:val="32"/>
          <w:szCs w:val="32"/>
        </w:rPr>
        <w:t>第六章  保密条款</w:t>
      </w:r>
      <w:bookmarkEnd w:id="18"/>
    </w:p>
    <w:p w14:paraId="3724C171">
      <w:pPr>
        <w:spacing w:line="586" w:lineRule="exact"/>
        <w:ind w:firstLine="640" w:firstLineChars="200"/>
        <w:rPr>
          <w:rFonts w:ascii="仿宋_GB2312" w:hAnsi="仿宋" w:eastAsia="仿宋_GB2312" w:cs="仿宋"/>
          <w:b/>
          <w:kern w:val="0"/>
          <w:sz w:val="32"/>
          <w:szCs w:val="32"/>
          <w:lang w:bidi="ar"/>
        </w:rPr>
      </w:pPr>
      <w:r>
        <w:rPr>
          <w:rFonts w:hint="eastAsia" w:ascii="仿宋_GB2312" w:hAnsi="仿宋" w:eastAsia="仿宋_GB2312" w:cs="仿宋"/>
          <w:kern w:val="0"/>
          <w:sz w:val="32"/>
          <w:szCs w:val="32"/>
          <w:lang w:bidi="ar"/>
        </w:rPr>
        <w:t>6.1本协议中的保密信息是指属于任一方及其关联公司所有的，包括但不限于现有及拟开展的业务、技术、财务、经营、产品、商业活动、用户信息、员工信息或任何其它方面的资料或信息。已被公众熟知或者经公权力机关依职权需调阅的信息除外。</w:t>
      </w:r>
    </w:p>
    <w:p w14:paraId="3182D63F">
      <w:pPr>
        <w:spacing w:line="586" w:lineRule="exact"/>
        <w:ind w:firstLine="640" w:firstLineChars="200"/>
        <w:rPr>
          <w:rFonts w:ascii="仿宋_GB2312" w:hAnsi="仿宋" w:eastAsia="仿宋_GB2312" w:cs="仿宋"/>
          <w:b/>
          <w:kern w:val="0"/>
          <w:sz w:val="32"/>
          <w:szCs w:val="32"/>
          <w:lang w:bidi="ar"/>
        </w:rPr>
      </w:pPr>
      <w:r>
        <w:rPr>
          <w:rFonts w:hint="eastAsia" w:ascii="仿宋_GB2312" w:hAnsi="仿宋" w:eastAsia="仿宋_GB2312" w:cs="仿宋"/>
          <w:kern w:val="0"/>
          <w:sz w:val="32"/>
          <w:szCs w:val="32"/>
          <w:lang w:bidi="ar"/>
        </w:rPr>
        <w:t>6.2未经对方事先书面同意，任何一方不得将双方的合作内容及本协议中涉及的保密信息披露给任何第三方，否则除依据本协议约定承担违约责任外，给对方造成的损失还应承担赔偿。</w:t>
      </w:r>
    </w:p>
    <w:p w14:paraId="6824CBFC">
      <w:pPr>
        <w:spacing w:line="586" w:lineRule="exact"/>
        <w:ind w:firstLine="640" w:firstLineChars="200"/>
        <w:rPr>
          <w:rFonts w:ascii="仿宋_GB2312" w:hAnsi="仿宋" w:eastAsia="仿宋_GB2312" w:cs="仿宋"/>
          <w:kern w:val="0"/>
          <w:sz w:val="32"/>
          <w:szCs w:val="32"/>
          <w:lang w:bidi="ar"/>
        </w:rPr>
      </w:pPr>
      <w:r>
        <w:rPr>
          <w:rFonts w:hint="eastAsia" w:ascii="仿宋_GB2312" w:hAnsi="仿宋" w:eastAsia="仿宋_GB2312" w:cs="仿宋"/>
          <w:kern w:val="0"/>
          <w:sz w:val="32"/>
          <w:szCs w:val="32"/>
          <w:lang w:bidi="ar"/>
        </w:rPr>
        <w:t>6.3本协议所涉各方及相关人员对合作内容及本协议的具体内容负有保密责任。相关人员包括但不限于协议所设各方及其关联公司的董事、监事、高级管理人员、雇员、咨询者、代理人、顾问、外包人员、派遣人员、实习人员、兼职人员等。</w:t>
      </w:r>
    </w:p>
    <w:p w14:paraId="78D99644">
      <w:pPr>
        <w:spacing w:line="586" w:lineRule="exact"/>
        <w:ind w:firstLine="640" w:firstLineChars="200"/>
        <w:rPr>
          <w:rFonts w:ascii="仿宋_GB2312" w:hAnsi="仿宋" w:eastAsia="仿宋_GB2312" w:cs="仿宋"/>
          <w:kern w:val="0"/>
          <w:sz w:val="32"/>
          <w:szCs w:val="32"/>
          <w:lang w:bidi="ar"/>
        </w:rPr>
      </w:pPr>
      <w:r>
        <w:rPr>
          <w:rFonts w:hint="eastAsia" w:ascii="仿宋_GB2312" w:hAnsi="仿宋" w:eastAsia="仿宋_GB2312" w:cs="仿宋"/>
          <w:kern w:val="0"/>
          <w:sz w:val="32"/>
          <w:szCs w:val="32"/>
          <w:lang w:bidi="ar"/>
        </w:rPr>
        <w:t>6.4保密义务的期限为永久，即甲、乙双方对保密信息所负的义务和责任始于本协议生效，并在双方合作关系终止或解除后持续有效，直至保密信息成为公共领域的信息。</w:t>
      </w:r>
    </w:p>
    <w:p w14:paraId="0D89F809">
      <w:pPr>
        <w:spacing w:line="586" w:lineRule="exact"/>
        <w:ind w:firstLine="640" w:firstLineChars="200"/>
        <w:rPr>
          <w:rFonts w:ascii="仿宋_GB2312" w:hAnsi="仿宋" w:eastAsia="仿宋_GB2312" w:cs="仿宋"/>
          <w:kern w:val="0"/>
          <w:sz w:val="32"/>
          <w:szCs w:val="32"/>
          <w:lang w:bidi="ar"/>
        </w:rPr>
      </w:pPr>
      <w:r>
        <w:rPr>
          <w:rFonts w:hint="eastAsia" w:ascii="仿宋_GB2312" w:hAnsi="仿宋" w:eastAsia="仿宋_GB2312" w:cs="仿宋"/>
          <w:kern w:val="0"/>
          <w:sz w:val="32"/>
          <w:szCs w:val="32"/>
          <w:lang w:bidi="ar"/>
        </w:rPr>
        <w:t>6.5本协议如有任何部分被视为无效或不可执行，均不影响保密条款的有效性。</w:t>
      </w:r>
    </w:p>
    <w:p w14:paraId="626A36DC">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kern w:val="0"/>
          <w:sz w:val="32"/>
          <w:szCs w:val="32"/>
          <w:lang w:bidi="ar"/>
        </w:rPr>
        <w:t>6.6任一方违反本保密条款，将向守约方承担违约责任，赔偿守约方的损失，如损失无法估算或不足</w:t>
      </w:r>
      <w:r>
        <w:rPr>
          <w:rFonts w:hint="eastAsia" w:ascii="仿宋_GB2312" w:hAnsi="仿宋" w:eastAsia="仿宋_GB2312" w:cs="仿宋"/>
          <w:kern w:val="0"/>
          <w:sz w:val="32"/>
          <w:szCs w:val="32"/>
          <w:u w:val="single"/>
          <w:lang w:bidi="ar"/>
        </w:rPr>
        <w:t xml:space="preserve">  5  </w:t>
      </w:r>
      <w:r>
        <w:rPr>
          <w:rFonts w:hint="eastAsia" w:ascii="仿宋_GB2312" w:hAnsi="仿宋" w:eastAsia="仿宋_GB2312" w:cs="仿宋"/>
          <w:kern w:val="0"/>
          <w:sz w:val="32"/>
          <w:szCs w:val="32"/>
          <w:lang w:bidi="ar"/>
        </w:rPr>
        <w:t>万元的，按</w:t>
      </w:r>
      <w:r>
        <w:rPr>
          <w:rFonts w:hint="eastAsia" w:ascii="仿宋_GB2312" w:hAnsi="仿宋" w:eastAsia="仿宋_GB2312" w:cs="仿宋"/>
          <w:kern w:val="0"/>
          <w:sz w:val="32"/>
          <w:szCs w:val="32"/>
          <w:u w:val="single"/>
          <w:lang w:bidi="ar"/>
        </w:rPr>
        <w:t xml:space="preserve">  5  </w:t>
      </w:r>
      <w:r>
        <w:rPr>
          <w:rFonts w:hint="eastAsia" w:ascii="仿宋_GB2312" w:hAnsi="仿宋" w:eastAsia="仿宋_GB2312" w:cs="仿宋"/>
          <w:kern w:val="0"/>
          <w:sz w:val="32"/>
          <w:szCs w:val="32"/>
          <w:lang w:bidi="ar"/>
        </w:rPr>
        <w:t>万元计。</w:t>
      </w:r>
    </w:p>
    <w:p w14:paraId="733EAAC8">
      <w:pPr>
        <w:spacing w:line="586" w:lineRule="exact"/>
        <w:ind w:firstLine="420" w:firstLineChars="200"/>
        <w:rPr>
          <w:rFonts w:ascii="仿宋" w:hAnsi="仿宋" w:eastAsia="仿宋" w:cs="仿宋"/>
          <w:bCs/>
          <w:szCs w:val="32"/>
        </w:rPr>
      </w:pPr>
    </w:p>
    <w:p w14:paraId="41F2D02D">
      <w:pPr>
        <w:spacing w:line="586" w:lineRule="exact"/>
        <w:ind w:firstLine="643" w:firstLineChars="200"/>
        <w:jc w:val="center"/>
        <w:rPr>
          <w:rFonts w:ascii="仿宋_GB2312" w:hAnsi="仿宋" w:eastAsia="仿宋_GB2312" w:cs="仿宋"/>
          <w:b/>
          <w:sz w:val="32"/>
          <w:szCs w:val="32"/>
        </w:rPr>
      </w:pPr>
      <w:bookmarkStart w:id="19" w:name="_Toc160801319"/>
      <w:r>
        <w:rPr>
          <w:rFonts w:hint="eastAsia" w:ascii="仿宋_GB2312" w:hAnsi="仿宋" w:eastAsia="仿宋_GB2312" w:cs="仿宋"/>
          <w:b/>
          <w:sz w:val="32"/>
          <w:szCs w:val="32"/>
        </w:rPr>
        <w:t>第七章  争议的解决</w:t>
      </w:r>
      <w:bookmarkEnd w:id="19"/>
    </w:p>
    <w:p w14:paraId="65445CED">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7.1因执行本</w:t>
      </w:r>
      <w:r>
        <w:rPr>
          <w:rFonts w:hint="eastAsia" w:ascii="仿宋_GB2312" w:hAnsi="仿宋" w:eastAsia="仿宋_GB2312" w:cs="仿宋"/>
          <w:bCs/>
          <w:spacing w:val="-8"/>
          <w:sz w:val="32"/>
          <w:szCs w:val="32"/>
        </w:rPr>
        <w:t>协议所发生的有关争议，原则上由双方自行协商解决。</w:t>
      </w:r>
    </w:p>
    <w:p w14:paraId="2CE2B30A">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7.2在争议调解或依法诉讼以后，并且在调解成功、或法院作出最终裁决之前，双方应继续履行其在本协议下的所有义务，但不影响根据上述裁决而进行最终的调整。</w:t>
      </w:r>
    </w:p>
    <w:p w14:paraId="307C811A">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7.4本章规定的争议解决条款在本协议终止后继续有效。</w:t>
      </w:r>
    </w:p>
    <w:p w14:paraId="6D7B05D8">
      <w:pPr>
        <w:ind w:firstLine="640" w:firstLineChars="200"/>
        <w:rPr>
          <w:rFonts w:ascii="仿宋_GB2312" w:hAnsi="仿宋" w:eastAsia="仿宋_GB2312" w:cs="仿宋"/>
          <w:bCs/>
          <w:sz w:val="32"/>
          <w:szCs w:val="32"/>
        </w:rPr>
      </w:pPr>
    </w:p>
    <w:p w14:paraId="6CB7AE82">
      <w:pPr>
        <w:spacing w:line="586" w:lineRule="exact"/>
        <w:ind w:firstLine="643" w:firstLineChars="200"/>
        <w:jc w:val="center"/>
        <w:rPr>
          <w:rFonts w:ascii="仿宋_GB2312" w:hAnsi="仿宋" w:eastAsia="仿宋_GB2312" w:cs="仿宋"/>
          <w:b/>
          <w:sz w:val="32"/>
          <w:szCs w:val="32"/>
        </w:rPr>
      </w:pPr>
      <w:bookmarkStart w:id="20" w:name="_Toc160801320"/>
      <w:r>
        <w:rPr>
          <w:rFonts w:hint="eastAsia" w:ascii="仿宋_GB2312" w:hAnsi="仿宋" w:eastAsia="仿宋_GB2312" w:cs="仿宋"/>
          <w:b/>
          <w:sz w:val="32"/>
          <w:szCs w:val="32"/>
        </w:rPr>
        <w:t>第八章  协议解除和生效</w:t>
      </w:r>
      <w:bookmarkEnd w:id="20"/>
    </w:p>
    <w:p w14:paraId="7C07BEF7">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8.1经双方协商一致或依法解除协议的情形，可以解除本协议。协议一方发生下列事件超过</w:t>
      </w:r>
      <w:r>
        <w:rPr>
          <w:rFonts w:hint="eastAsia" w:ascii="仿宋_GB2312" w:hAnsi="仿宋" w:eastAsia="仿宋_GB2312" w:cs="仿宋"/>
          <w:bCs/>
          <w:sz w:val="32"/>
          <w:szCs w:val="32"/>
          <w:u w:val="single"/>
        </w:rPr>
        <w:t xml:space="preserve">  7  </w:t>
      </w:r>
      <w:r>
        <w:rPr>
          <w:rFonts w:hint="eastAsia" w:ascii="仿宋_GB2312" w:hAnsi="仿宋" w:eastAsia="仿宋_GB2312" w:cs="仿宋"/>
          <w:bCs/>
          <w:sz w:val="32"/>
          <w:szCs w:val="32"/>
        </w:rPr>
        <w:t>工作日的，则另一方有权解除本协议。</w:t>
      </w:r>
    </w:p>
    <w:p w14:paraId="75EB6D74">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（1）一方被申请破产、清算或被吊销营业执照；</w:t>
      </w:r>
    </w:p>
    <w:p w14:paraId="09D30832">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（2）一方与其他实体联合、合并或将其所有或大部分资产转移给其他实体，而该存续的企业不能合理地承担其在本协议项下的所有义务。</w:t>
      </w:r>
    </w:p>
    <w:p w14:paraId="73C812DF">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8.2本协议自双方法定代表人或授权代理人签字并加盖公章或协议专用章之日起生效。本协议一式</w:t>
      </w:r>
      <w:r>
        <w:rPr>
          <w:rFonts w:hint="eastAsia" w:ascii="仿宋_GB2312" w:hAnsi="仿宋" w:eastAsia="仿宋_GB2312" w:cs="仿宋"/>
          <w:bCs/>
          <w:sz w:val="32"/>
          <w:szCs w:val="32"/>
          <w:u w:val="single"/>
        </w:rPr>
        <w:t xml:space="preserve"> 叁 </w:t>
      </w:r>
      <w:r>
        <w:rPr>
          <w:rFonts w:hint="eastAsia" w:ascii="仿宋_GB2312" w:hAnsi="仿宋" w:eastAsia="仿宋_GB2312" w:cs="仿宋"/>
          <w:bCs/>
          <w:sz w:val="32"/>
          <w:szCs w:val="32"/>
        </w:rPr>
        <w:t>份，甲方执</w:t>
      </w:r>
      <w:r>
        <w:rPr>
          <w:rFonts w:hint="eastAsia" w:ascii="仿宋_GB2312" w:hAnsi="仿宋" w:eastAsia="仿宋_GB2312" w:cs="仿宋"/>
          <w:bCs/>
          <w:sz w:val="32"/>
          <w:szCs w:val="32"/>
          <w:u w:val="single"/>
        </w:rPr>
        <w:t xml:space="preserve"> 壹 </w:t>
      </w:r>
      <w:r>
        <w:rPr>
          <w:rFonts w:hint="eastAsia" w:ascii="仿宋_GB2312" w:hAnsi="仿宋" w:eastAsia="仿宋_GB2312" w:cs="仿宋"/>
          <w:bCs/>
          <w:sz w:val="32"/>
          <w:szCs w:val="32"/>
        </w:rPr>
        <w:t>份，乙方执</w:t>
      </w:r>
      <w:r>
        <w:rPr>
          <w:rFonts w:hint="eastAsia" w:ascii="仿宋_GB2312" w:hAnsi="仿宋" w:eastAsia="仿宋_GB2312" w:cs="仿宋"/>
          <w:bCs/>
          <w:sz w:val="32"/>
          <w:szCs w:val="32"/>
          <w:u w:val="single"/>
        </w:rPr>
        <w:t xml:space="preserve"> 壹 </w:t>
      </w:r>
      <w:r>
        <w:rPr>
          <w:rFonts w:hint="eastAsia" w:ascii="仿宋_GB2312" w:hAnsi="仿宋" w:eastAsia="仿宋_GB2312" w:cs="仿宋"/>
          <w:bCs/>
          <w:sz w:val="32"/>
          <w:szCs w:val="32"/>
        </w:rPr>
        <w:t xml:space="preserve">份，广州市虚拟电厂管理中心备案 </w:t>
      </w:r>
      <w:r>
        <w:rPr>
          <w:rFonts w:hint="eastAsia" w:ascii="仿宋_GB2312" w:hAnsi="仿宋" w:eastAsia="仿宋_GB2312" w:cs="仿宋"/>
          <w:bCs/>
          <w:sz w:val="32"/>
          <w:szCs w:val="32"/>
          <w:u w:val="single"/>
        </w:rPr>
        <w:t xml:space="preserve">壹 </w:t>
      </w:r>
      <w:r>
        <w:rPr>
          <w:rFonts w:hint="eastAsia" w:ascii="仿宋_GB2312" w:hAnsi="仿宋" w:eastAsia="仿宋_GB2312" w:cs="仿宋"/>
          <w:bCs/>
          <w:sz w:val="32"/>
          <w:szCs w:val="32"/>
        </w:rPr>
        <w:t>份。</w:t>
      </w:r>
    </w:p>
    <w:p w14:paraId="42FE679F">
      <w:pPr>
        <w:pStyle w:val="2"/>
        <w:ind w:left="0" w:leftChars="0"/>
      </w:pPr>
    </w:p>
    <w:p w14:paraId="67771F5F">
      <w:pPr>
        <w:spacing w:line="586"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(本页以下无正文)</w:t>
      </w:r>
    </w:p>
    <w:p w14:paraId="4BF718AC">
      <w:pPr>
        <w:widowControl/>
        <w:jc w:val="left"/>
        <w:rPr>
          <w:rFonts w:ascii="仿宋_GB2312" w:hAnsi="宋体" w:eastAsia="仿宋_GB2312" w:cs="Times New Roman"/>
          <w:sz w:val="28"/>
          <w:szCs w:val="28"/>
        </w:rPr>
      </w:pPr>
      <w:r>
        <w:rPr>
          <w:rFonts w:ascii="仿宋" w:hAnsi="仿宋" w:eastAsia="仿宋" w:cs="仿宋"/>
          <w:bCs/>
          <w:szCs w:val="32"/>
        </w:rPr>
        <w:br w:type="page"/>
      </w:r>
    </w:p>
    <w:p w14:paraId="107D3217">
      <w:pPr>
        <w:widowControl/>
        <w:jc w:val="left"/>
        <w:rPr>
          <w:rFonts w:ascii="黑体" w:hAnsi="黑体" w:eastAsia="黑体" w:cs="Times New Roman"/>
          <w:b/>
          <w:sz w:val="32"/>
          <w:szCs w:val="32"/>
        </w:rPr>
      </w:pPr>
      <w:bookmarkStart w:id="21" w:name="_Toc160801139"/>
      <w:bookmarkStart w:id="22" w:name="_Toc21391"/>
    </w:p>
    <w:bookmarkEnd w:id="21"/>
    <w:bookmarkEnd w:id="22"/>
    <w:p w14:paraId="39EB5DD7">
      <w:pPr>
        <w:spacing w:line="586" w:lineRule="exact"/>
        <w:jc w:val="center"/>
        <w:rPr>
          <w:rFonts w:ascii="仿宋_GB2312" w:hAnsi="仿宋" w:eastAsia="仿宋_GB2312" w:cs="仿宋"/>
          <w:b/>
          <w:sz w:val="32"/>
          <w:szCs w:val="32"/>
        </w:rPr>
      </w:pPr>
      <w:r>
        <w:rPr>
          <w:rFonts w:hint="eastAsia" w:ascii="仿宋_GB2312" w:hAnsi="仿宋" w:eastAsia="仿宋_GB2312" w:cs="仿宋"/>
          <w:b/>
          <w:sz w:val="32"/>
          <w:szCs w:val="32"/>
        </w:rPr>
        <w:t>签  署  页</w:t>
      </w:r>
    </w:p>
    <w:p w14:paraId="044FA9F7">
      <w:pPr>
        <w:spacing w:line="360" w:lineRule="auto"/>
        <w:rPr>
          <w:rFonts w:ascii="微软雅黑" w:hAnsi="微软雅黑" w:eastAsia="微软雅黑" w:cs="Times New Roman"/>
          <w:sz w:val="30"/>
          <w:szCs w:val="30"/>
        </w:rPr>
      </w:pPr>
    </w:p>
    <w:p w14:paraId="51C5DF0E">
      <w:pPr>
        <w:spacing w:line="360" w:lineRule="auto"/>
        <w:rPr>
          <w:rFonts w:ascii="仿宋_GB2312" w:hAnsi="宋体" w:eastAsia="仿宋_GB2312" w:cs="Times New Roman"/>
          <w:sz w:val="28"/>
          <w:szCs w:val="28"/>
        </w:rPr>
      </w:pPr>
      <w:r>
        <w:rPr>
          <w:rFonts w:hint="eastAsia" w:ascii="仿宋_GB2312" w:hAnsi="宋体" w:eastAsia="仿宋_GB2312" w:cs="Times New Roman"/>
          <w:sz w:val="28"/>
          <w:szCs w:val="28"/>
        </w:rPr>
        <w:t>甲方(盖章)：                      乙方(盖章)：</w:t>
      </w:r>
    </w:p>
    <w:p w14:paraId="1B1F4BBE">
      <w:pPr>
        <w:spacing w:line="360" w:lineRule="auto"/>
        <w:rPr>
          <w:rFonts w:ascii="仿宋_GB2312" w:hAnsi="宋体" w:eastAsia="仿宋_GB2312" w:cs="Times New Roman"/>
          <w:sz w:val="28"/>
          <w:szCs w:val="28"/>
        </w:rPr>
      </w:pPr>
    </w:p>
    <w:p w14:paraId="67D05129">
      <w:pPr>
        <w:spacing w:line="360" w:lineRule="auto"/>
        <w:rPr>
          <w:rFonts w:ascii="仿宋_GB2312" w:hAnsi="宋体" w:eastAsia="仿宋_GB2312" w:cs="Times New Roman"/>
          <w:sz w:val="28"/>
          <w:szCs w:val="28"/>
        </w:rPr>
      </w:pPr>
    </w:p>
    <w:p w14:paraId="60DC43F8">
      <w:pPr>
        <w:wordWrap w:val="0"/>
        <w:adjustRightInd w:val="0"/>
        <w:snapToGrid w:val="0"/>
        <w:spacing w:line="480" w:lineRule="exact"/>
        <w:rPr>
          <w:rFonts w:ascii="仿宋_GB2312" w:hAnsi="宋体" w:eastAsia="仿宋_GB2312" w:cs="Times New Roman"/>
          <w:sz w:val="28"/>
          <w:szCs w:val="28"/>
        </w:rPr>
      </w:pPr>
      <w:r>
        <w:rPr>
          <w:rFonts w:hint="eastAsia" w:ascii="仿宋_GB2312" w:hAnsi="宋体" w:eastAsia="仿宋_GB2312" w:cs="Times New Roman"/>
          <w:sz w:val="28"/>
          <w:szCs w:val="28"/>
        </w:rPr>
        <w:t>法定代表人（负责人）或            法定代表人（负责人）或</w:t>
      </w:r>
    </w:p>
    <w:p w14:paraId="18AFCE7D">
      <w:pPr>
        <w:wordWrap w:val="0"/>
        <w:adjustRightInd w:val="0"/>
        <w:snapToGrid w:val="0"/>
        <w:spacing w:line="480" w:lineRule="exact"/>
        <w:rPr>
          <w:rFonts w:ascii="仿宋_GB2312" w:hAnsi="宋体" w:eastAsia="仿宋_GB2312" w:cs="Times New Roman"/>
          <w:sz w:val="28"/>
          <w:szCs w:val="28"/>
        </w:rPr>
      </w:pPr>
      <w:r>
        <w:rPr>
          <w:rFonts w:hint="eastAsia" w:ascii="仿宋_GB2312" w:hAnsi="宋体" w:eastAsia="仿宋_GB2312" w:cs="Times New Roman"/>
          <w:sz w:val="28"/>
          <w:szCs w:val="28"/>
        </w:rPr>
        <w:t>授权代表（签字）：                授权代表（签字）：</w:t>
      </w:r>
    </w:p>
    <w:p w14:paraId="139FB3BE">
      <w:pPr>
        <w:spacing w:line="360" w:lineRule="auto"/>
        <w:rPr>
          <w:rFonts w:ascii="仿宋_GB2312" w:hAnsi="宋体" w:eastAsia="仿宋_GB2312" w:cs="Times New Roman"/>
          <w:sz w:val="28"/>
          <w:szCs w:val="28"/>
        </w:rPr>
      </w:pPr>
    </w:p>
    <w:p w14:paraId="2A7B01BC">
      <w:pPr>
        <w:spacing w:line="360" w:lineRule="auto"/>
        <w:rPr>
          <w:rFonts w:ascii="仿宋_GB2312" w:hAnsi="宋体" w:eastAsia="仿宋_GB2312" w:cs="Times New Roman"/>
          <w:sz w:val="28"/>
          <w:szCs w:val="28"/>
        </w:rPr>
      </w:pPr>
    </w:p>
    <w:p w14:paraId="7EFC9C23">
      <w:pPr>
        <w:spacing w:line="360" w:lineRule="auto"/>
        <w:rPr>
          <w:rFonts w:ascii="仿宋_GB2312" w:hAnsi="宋体" w:eastAsia="仿宋_GB2312" w:cs="Times New Roman"/>
          <w:sz w:val="28"/>
          <w:szCs w:val="28"/>
        </w:rPr>
      </w:pPr>
    </w:p>
    <w:p w14:paraId="41483267">
      <w:pPr>
        <w:spacing w:line="360" w:lineRule="auto"/>
        <w:rPr>
          <w:rFonts w:ascii="仿宋_GB2312" w:hAnsi="宋体" w:eastAsia="仿宋_GB2312" w:cs="Times New Roman"/>
          <w:sz w:val="28"/>
          <w:szCs w:val="28"/>
        </w:rPr>
      </w:pPr>
      <w:r>
        <w:rPr>
          <w:rFonts w:hint="eastAsia" w:ascii="仿宋_GB2312" w:hAnsi="宋体" w:eastAsia="仿宋_GB2312" w:cs="Times New Roman"/>
          <w:sz w:val="28"/>
          <w:szCs w:val="28"/>
        </w:rPr>
        <w:t xml:space="preserve">签字日期： </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年</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月</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日       签字日期：</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年</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月</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日</w:t>
      </w:r>
    </w:p>
    <w:p w14:paraId="2437D30C">
      <w:pPr>
        <w:spacing w:line="360" w:lineRule="auto"/>
        <w:rPr>
          <w:rFonts w:ascii="仿宋_GB2312" w:hAnsi="宋体" w:eastAsia="仿宋_GB2312" w:cs="Times New Roman"/>
          <w:sz w:val="28"/>
          <w:szCs w:val="28"/>
        </w:rPr>
      </w:pPr>
    </w:p>
    <w:p w14:paraId="32D3B5D6">
      <w:pPr>
        <w:spacing w:line="360" w:lineRule="auto"/>
        <w:rPr>
          <w:rFonts w:ascii="仿宋_GB2312" w:hAnsi="宋体" w:eastAsia="仿宋_GB2312" w:cs="Times New Roman"/>
          <w:sz w:val="28"/>
          <w:szCs w:val="28"/>
        </w:rPr>
      </w:pPr>
    </w:p>
    <w:p w14:paraId="5D1640CF">
      <w:pPr>
        <w:spacing w:line="360" w:lineRule="auto"/>
        <w:rPr>
          <w:rFonts w:ascii="仿宋_GB2312" w:hAnsi="宋体" w:eastAsia="仿宋_GB2312" w:cs="Times New Roman"/>
          <w:sz w:val="28"/>
          <w:szCs w:val="28"/>
        </w:rPr>
      </w:pPr>
    </w:p>
    <w:p w14:paraId="602E4DE0">
      <w:pPr>
        <w:rPr>
          <w:rFonts w:ascii="仿宋_GB2312" w:hAnsi="宋体" w:eastAsia="仿宋_GB2312" w:cs="Times New Roman"/>
          <w:sz w:val="28"/>
          <w:szCs w:val="28"/>
          <w:u w:val="single"/>
        </w:rPr>
      </w:pPr>
      <w:r>
        <w:rPr>
          <w:rFonts w:hint="eastAsia" w:ascii="仿宋_GB2312" w:hAnsi="宋体" w:eastAsia="仿宋_GB2312" w:cs="Times New Roman"/>
          <w:sz w:val="28"/>
          <w:szCs w:val="28"/>
        </w:rPr>
        <w:t>签字地点：</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 xml:space="preserve">       签字地点：</w:t>
      </w:r>
      <w:r>
        <w:rPr>
          <w:rFonts w:hint="eastAsia" w:ascii="仿宋_GB2312" w:hAnsi="宋体" w:eastAsia="仿宋_GB2312" w:cs="Times New Roman"/>
          <w:sz w:val="28"/>
          <w:szCs w:val="28"/>
          <w:u w:val="single"/>
        </w:rPr>
        <w:t xml:space="preserve">              </w:t>
      </w:r>
    </w:p>
    <w:p w14:paraId="35C9FCE8">
      <w:pPr>
        <w:rPr>
          <w:rFonts w:ascii="仿宋_GB2312" w:hAnsi="宋体" w:eastAsia="仿宋_GB2312" w:cs="Times New Roman"/>
          <w:sz w:val="28"/>
          <w:szCs w:val="28"/>
          <w:u w:val="single"/>
        </w:rPr>
      </w:pPr>
      <w:r>
        <w:rPr>
          <w:rFonts w:hint="eastAsia" w:ascii="仿宋_GB2312" w:hAnsi="宋体" w:eastAsia="仿宋_GB2312" w:cs="Times New Roman"/>
          <w:sz w:val="28"/>
          <w:szCs w:val="28"/>
          <w:u w:val="single"/>
        </w:rPr>
        <w:br w:type="page"/>
      </w:r>
    </w:p>
    <w:p w14:paraId="5FFA20F1">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宋体" w:eastAsia="仿宋_GB2312" w:cs="Times New Roman"/>
          <w:sz w:val="28"/>
          <w:szCs w:val="28"/>
        </w:rPr>
      </w:pPr>
      <w:r>
        <w:rPr>
          <w:rFonts w:hint="eastAsia" w:ascii="黑体" w:hAnsi="黑体" w:eastAsia="黑体" w:cs="黑体"/>
          <w:sz w:val="32"/>
          <w:szCs w:val="32"/>
        </w:rPr>
        <w:t>附件1</w:t>
      </w:r>
      <w:r>
        <w:rPr>
          <w:rFonts w:hint="eastAsia" w:ascii="仿宋_GB2312" w:hAnsi="宋体" w:eastAsia="仿宋_GB2312" w:cs="Times New Roman"/>
          <w:sz w:val="28"/>
          <w:szCs w:val="28"/>
        </w:rPr>
        <w:t xml:space="preserve"> </w:t>
      </w:r>
    </w:p>
    <w:p w14:paraId="0B80994C">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sz w:val="44"/>
          <w:szCs w:val="44"/>
        </w:rPr>
      </w:pPr>
    </w:p>
    <w:p w14:paraId="54220FAF">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资源代理清单（用户编号）</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455"/>
        <w:gridCol w:w="1169"/>
        <w:gridCol w:w="1351"/>
        <w:gridCol w:w="1278"/>
        <w:gridCol w:w="1157"/>
        <w:gridCol w:w="1217"/>
      </w:tblGrid>
      <w:tr w14:paraId="098E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Align w:val="center"/>
          </w:tcPr>
          <w:p w14:paraId="33D5C023">
            <w:pPr>
              <w:jc w:val="center"/>
              <w:rPr>
                <w:rFonts w:asciiTheme="minorEastAsia" w:hAnsiTheme="minorEastAsia" w:cstheme="minorEastAsia"/>
              </w:rPr>
            </w:pPr>
            <w:r>
              <w:rPr>
                <w:rFonts w:hint="eastAsia" w:asciiTheme="minorEastAsia" w:hAnsiTheme="minorEastAsia" w:cstheme="minorEastAsia"/>
              </w:rPr>
              <w:t>序号</w:t>
            </w:r>
          </w:p>
        </w:tc>
        <w:tc>
          <w:tcPr>
            <w:tcW w:w="854" w:type="pct"/>
            <w:vAlign w:val="center"/>
          </w:tcPr>
          <w:p w14:paraId="49DD4CE5">
            <w:pPr>
              <w:jc w:val="center"/>
              <w:rPr>
                <w:rFonts w:asciiTheme="minorEastAsia" w:hAnsiTheme="minorEastAsia" w:cstheme="minorEastAsia"/>
              </w:rPr>
            </w:pPr>
            <w:r>
              <w:rPr>
                <w:rFonts w:hint="eastAsia" w:asciiTheme="minorEastAsia" w:hAnsiTheme="minorEastAsia" w:cstheme="minorEastAsia"/>
              </w:rPr>
              <w:t>资源名称</w:t>
            </w:r>
          </w:p>
        </w:tc>
        <w:tc>
          <w:tcPr>
            <w:tcW w:w="686" w:type="pct"/>
            <w:vAlign w:val="center"/>
          </w:tcPr>
          <w:p w14:paraId="478882D8">
            <w:pPr>
              <w:jc w:val="center"/>
              <w:rPr>
                <w:rFonts w:asciiTheme="minorEastAsia" w:hAnsiTheme="minorEastAsia" w:cstheme="minorEastAsia"/>
              </w:rPr>
            </w:pPr>
            <w:r>
              <w:rPr>
                <w:rFonts w:hint="eastAsia" w:asciiTheme="minorEastAsia" w:hAnsiTheme="minorEastAsia" w:cstheme="minorEastAsia"/>
              </w:rPr>
              <w:t>用电容量（千瓦）</w:t>
            </w:r>
          </w:p>
        </w:tc>
        <w:tc>
          <w:tcPr>
            <w:tcW w:w="793" w:type="pct"/>
            <w:vAlign w:val="center"/>
          </w:tcPr>
          <w:p w14:paraId="0B9CCDE5">
            <w:pPr>
              <w:jc w:val="center"/>
              <w:rPr>
                <w:rFonts w:asciiTheme="minorEastAsia" w:hAnsiTheme="minorEastAsia" w:cstheme="minorEastAsia"/>
              </w:rPr>
            </w:pPr>
            <w:r>
              <w:rPr>
                <w:rFonts w:hint="eastAsia" w:asciiTheme="minorEastAsia" w:hAnsiTheme="minorEastAsia" w:cstheme="minorEastAsia"/>
              </w:rPr>
              <w:t>调节类型</w:t>
            </w:r>
          </w:p>
        </w:tc>
        <w:tc>
          <w:tcPr>
            <w:tcW w:w="750" w:type="pct"/>
            <w:vAlign w:val="center"/>
          </w:tcPr>
          <w:p w14:paraId="1DBE7814">
            <w:pPr>
              <w:jc w:val="center"/>
              <w:rPr>
                <w:rFonts w:asciiTheme="minorEastAsia" w:hAnsiTheme="minorEastAsia" w:cstheme="minorEastAsia"/>
              </w:rPr>
            </w:pPr>
            <w:r>
              <w:rPr>
                <w:rFonts w:hint="eastAsia" w:asciiTheme="minorEastAsia" w:hAnsiTheme="minorEastAsia" w:cstheme="minorEastAsia"/>
              </w:rPr>
              <w:t>最大可调功率（千瓦）</w:t>
            </w:r>
          </w:p>
        </w:tc>
        <w:tc>
          <w:tcPr>
            <w:tcW w:w="679" w:type="pct"/>
            <w:vAlign w:val="center"/>
          </w:tcPr>
          <w:p w14:paraId="130A4A92">
            <w:pPr>
              <w:jc w:val="center"/>
              <w:rPr>
                <w:rFonts w:asciiTheme="minorEastAsia" w:hAnsiTheme="minorEastAsia" w:cstheme="minorEastAsia"/>
              </w:rPr>
            </w:pPr>
            <w:r>
              <w:rPr>
                <w:rFonts w:hint="eastAsia" w:asciiTheme="minorEastAsia" w:hAnsiTheme="minorEastAsia" w:cstheme="minorEastAsia"/>
              </w:rPr>
              <w:t>提前时间</w:t>
            </w:r>
          </w:p>
        </w:tc>
        <w:tc>
          <w:tcPr>
            <w:tcW w:w="714" w:type="pct"/>
            <w:vAlign w:val="center"/>
          </w:tcPr>
          <w:p w14:paraId="66731D3F">
            <w:pPr>
              <w:jc w:val="center"/>
              <w:rPr>
                <w:rFonts w:asciiTheme="minorEastAsia" w:hAnsiTheme="minorEastAsia" w:cstheme="minorEastAsia"/>
              </w:rPr>
            </w:pPr>
            <w:r>
              <w:rPr>
                <w:rFonts w:hint="eastAsia" w:asciiTheme="minorEastAsia" w:hAnsiTheme="minorEastAsia" w:cstheme="minorEastAsia"/>
              </w:rPr>
              <w:t>持续时长（小时）</w:t>
            </w:r>
          </w:p>
        </w:tc>
      </w:tr>
      <w:tr w14:paraId="79A4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Align w:val="center"/>
          </w:tcPr>
          <w:p w14:paraId="42159813">
            <w:pPr>
              <w:jc w:val="center"/>
              <w:rPr>
                <w:rFonts w:asciiTheme="minorEastAsia" w:hAnsiTheme="minorEastAsia" w:cstheme="minorEastAsia"/>
              </w:rPr>
            </w:pPr>
            <w:r>
              <w:rPr>
                <w:rFonts w:hint="eastAsia" w:asciiTheme="minorEastAsia" w:hAnsiTheme="minorEastAsia" w:cstheme="minorEastAsia"/>
              </w:rPr>
              <w:t>例</w:t>
            </w:r>
          </w:p>
        </w:tc>
        <w:tc>
          <w:tcPr>
            <w:tcW w:w="854" w:type="pct"/>
            <w:vAlign w:val="center"/>
          </w:tcPr>
          <w:p w14:paraId="0DAA10B5">
            <w:pPr>
              <w:jc w:val="center"/>
              <w:rPr>
                <w:rFonts w:asciiTheme="minorEastAsia" w:hAnsiTheme="minorEastAsia" w:cstheme="minorEastAsia"/>
              </w:rPr>
            </w:pPr>
            <w:r>
              <w:rPr>
                <w:rFonts w:hint="eastAsia" w:asciiTheme="minorEastAsia" w:hAnsiTheme="minorEastAsia" w:cstheme="minorEastAsia"/>
              </w:rPr>
              <w:t>A用户储能</w:t>
            </w:r>
          </w:p>
        </w:tc>
        <w:tc>
          <w:tcPr>
            <w:tcW w:w="686" w:type="pct"/>
            <w:vAlign w:val="center"/>
          </w:tcPr>
          <w:p w14:paraId="136C0B48">
            <w:pPr>
              <w:jc w:val="center"/>
              <w:rPr>
                <w:rFonts w:asciiTheme="minorEastAsia" w:hAnsiTheme="minorEastAsia" w:cstheme="minorEastAsia"/>
              </w:rPr>
            </w:pPr>
            <w:r>
              <w:rPr>
                <w:rFonts w:hint="eastAsia" w:asciiTheme="minorEastAsia" w:hAnsiTheme="minorEastAsia" w:cstheme="minorEastAsia"/>
              </w:rPr>
              <w:t>2000</w:t>
            </w:r>
          </w:p>
        </w:tc>
        <w:tc>
          <w:tcPr>
            <w:tcW w:w="793" w:type="pct"/>
            <w:vAlign w:val="center"/>
          </w:tcPr>
          <w:p w14:paraId="75D916B2">
            <w:pPr>
              <w:jc w:val="center"/>
              <w:rPr>
                <w:rFonts w:asciiTheme="minorEastAsia" w:hAnsiTheme="minorEastAsia" w:cstheme="minorEastAsia"/>
              </w:rPr>
            </w:pPr>
            <w:r>
              <w:rPr>
                <w:rFonts w:hint="eastAsia" w:asciiTheme="minorEastAsia" w:hAnsiTheme="minorEastAsia" w:cstheme="minorEastAsia"/>
              </w:rPr>
              <w:t>连续可调节</w:t>
            </w:r>
          </w:p>
        </w:tc>
        <w:tc>
          <w:tcPr>
            <w:tcW w:w="750" w:type="pct"/>
            <w:vAlign w:val="center"/>
          </w:tcPr>
          <w:p w14:paraId="7DE9C3BA">
            <w:pPr>
              <w:jc w:val="center"/>
              <w:rPr>
                <w:rFonts w:asciiTheme="minorEastAsia" w:hAnsiTheme="minorEastAsia" w:cstheme="minorEastAsia"/>
              </w:rPr>
            </w:pPr>
            <w:r>
              <w:rPr>
                <w:rFonts w:hint="eastAsia" w:asciiTheme="minorEastAsia" w:hAnsiTheme="minorEastAsia" w:cstheme="minorEastAsia"/>
              </w:rPr>
              <w:t>4000</w:t>
            </w:r>
          </w:p>
        </w:tc>
        <w:tc>
          <w:tcPr>
            <w:tcW w:w="679" w:type="pct"/>
            <w:vAlign w:val="center"/>
          </w:tcPr>
          <w:p w14:paraId="16499C96">
            <w:pPr>
              <w:jc w:val="center"/>
              <w:rPr>
                <w:rFonts w:asciiTheme="minorEastAsia" w:hAnsiTheme="minorEastAsia" w:cstheme="minorEastAsia"/>
              </w:rPr>
            </w:pPr>
            <w:r>
              <w:rPr>
                <w:rFonts w:hint="eastAsia" w:asciiTheme="minorEastAsia" w:hAnsiTheme="minorEastAsia" w:cstheme="minorEastAsia"/>
              </w:rPr>
              <w:t>分钟级</w:t>
            </w:r>
          </w:p>
        </w:tc>
        <w:tc>
          <w:tcPr>
            <w:tcW w:w="714" w:type="pct"/>
            <w:vAlign w:val="center"/>
          </w:tcPr>
          <w:p w14:paraId="08D887C7">
            <w:pPr>
              <w:jc w:val="center"/>
              <w:rPr>
                <w:rFonts w:asciiTheme="minorEastAsia" w:hAnsiTheme="minorEastAsia" w:cstheme="minorEastAsia"/>
              </w:rPr>
            </w:pPr>
            <w:r>
              <w:rPr>
                <w:rFonts w:hint="eastAsia" w:asciiTheme="minorEastAsia" w:hAnsiTheme="minorEastAsia" w:cstheme="minorEastAsia"/>
              </w:rPr>
              <w:t>2</w:t>
            </w:r>
          </w:p>
        </w:tc>
      </w:tr>
      <w:tr w14:paraId="3B49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Align w:val="center"/>
          </w:tcPr>
          <w:p w14:paraId="301562A3">
            <w:pPr>
              <w:numPr>
                <w:ilvl w:val="0"/>
                <w:numId w:val="11"/>
              </w:numPr>
              <w:jc w:val="center"/>
            </w:pPr>
          </w:p>
        </w:tc>
        <w:tc>
          <w:tcPr>
            <w:tcW w:w="854" w:type="pct"/>
            <w:vAlign w:val="center"/>
          </w:tcPr>
          <w:p w14:paraId="6344F26F">
            <w:pPr>
              <w:jc w:val="center"/>
            </w:pPr>
          </w:p>
        </w:tc>
        <w:tc>
          <w:tcPr>
            <w:tcW w:w="686" w:type="pct"/>
            <w:vAlign w:val="center"/>
          </w:tcPr>
          <w:p w14:paraId="0B34C0B0">
            <w:pPr>
              <w:jc w:val="center"/>
            </w:pPr>
          </w:p>
        </w:tc>
        <w:tc>
          <w:tcPr>
            <w:tcW w:w="793" w:type="pct"/>
            <w:vAlign w:val="center"/>
          </w:tcPr>
          <w:p w14:paraId="36562E49">
            <w:pPr>
              <w:jc w:val="center"/>
            </w:pPr>
          </w:p>
        </w:tc>
        <w:tc>
          <w:tcPr>
            <w:tcW w:w="750" w:type="pct"/>
            <w:vAlign w:val="center"/>
          </w:tcPr>
          <w:p w14:paraId="19B3E5C1">
            <w:pPr>
              <w:jc w:val="center"/>
            </w:pPr>
          </w:p>
        </w:tc>
        <w:tc>
          <w:tcPr>
            <w:tcW w:w="679" w:type="pct"/>
            <w:vAlign w:val="center"/>
          </w:tcPr>
          <w:p w14:paraId="7EF17503">
            <w:pPr>
              <w:jc w:val="center"/>
            </w:pPr>
          </w:p>
        </w:tc>
        <w:tc>
          <w:tcPr>
            <w:tcW w:w="714" w:type="pct"/>
            <w:vAlign w:val="center"/>
          </w:tcPr>
          <w:p w14:paraId="1684C890">
            <w:pPr>
              <w:jc w:val="center"/>
            </w:pPr>
          </w:p>
        </w:tc>
      </w:tr>
      <w:tr w14:paraId="0F2C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Align w:val="center"/>
          </w:tcPr>
          <w:p w14:paraId="444E9057">
            <w:pPr>
              <w:numPr>
                <w:ilvl w:val="0"/>
                <w:numId w:val="11"/>
              </w:numPr>
              <w:jc w:val="center"/>
            </w:pPr>
          </w:p>
        </w:tc>
        <w:tc>
          <w:tcPr>
            <w:tcW w:w="854" w:type="pct"/>
            <w:vAlign w:val="center"/>
          </w:tcPr>
          <w:p w14:paraId="083F92A3">
            <w:pPr>
              <w:jc w:val="center"/>
            </w:pPr>
          </w:p>
        </w:tc>
        <w:tc>
          <w:tcPr>
            <w:tcW w:w="686" w:type="pct"/>
            <w:vAlign w:val="center"/>
          </w:tcPr>
          <w:p w14:paraId="3CE53C43">
            <w:pPr>
              <w:jc w:val="center"/>
            </w:pPr>
          </w:p>
        </w:tc>
        <w:tc>
          <w:tcPr>
            <w:tcW w:w="793" w:type="pct"/>
            <w:vAlign w:val="center"/>
          </w:tcPr>
          <w:p w14:paraId="6FE7DE80">
            <w:pPr>
              <w:jc w:val="center"/>
            </w:pPr>
          </w:p>
        </w:tc>
        <w:tc>
          <w:tcPr>
            <w:tcW w:w="750" w:type="pct"/>
            <w:vAlign w:val="center"/>
          </w:tcPr>
          <w:p w14:paraId="377F825C">
            <w:pPr>
              <w:jc w:val="center"/>
            </w:pPr>
          </w:p>
        </w:tc>
        <w:tc>
          <w:tcPr>
            <w:tcW w:w="679" w:type="pct"/>
            <w:vAlign w:val="center"/>
          </w:tcPr>
          <w:p w14:paraId="64DC0136">
            <w:pPr>
              <w:jc w:val="center"/>
            </w:pPr>
          </w:p>
        </w:tc>
        <w:tc>
          <w:tcPr>
            <w:tcW w:w="714" w:type="pct"/>
            <w:vAlign w:val="center"/>
          </w:tcPr>
          <w:p w14:paraId="7BAE0920">
            <w:pPr>
              <w:jc w:val="center"/>
            </w:pPr>
          </w:p>
        </w:tc>
      </w:tr>
    </w:tbl>
    <w:p w14:paraId="102BAF6D">
      <w:pPr>
        <w:rPr>
          <w:rFonts w:ascii="仿宋_GB2312" w:hAnsi="仿宋_GB2312" w:eastAsia="仿宋_GB2312" w:cs="仿宋_GB2312"/>
        </w:rPr>
      </w:pPr>
      <w:r>
        <w:rPr>
          <w:rFonts w:hint="eastAsia" w:ascii="仿宋_GB2312" w:hAnsi="仿宋_GB2312" w:eastAsia="仿宋_GB2312" w:cs="仿宋_GB2312"/>
        </w:rPr>
        <w:t>说明：</w:t>
      </w:r>
    </w:p>
    <w:p w14:paraId="07866A6D">
      <w:pPr>
        <w:numPr>
          <w:ilvl w:val="0"/>
          <w:numId w:val="12"/>
        </w:numPr>
        <w:rPr>
          <w:rFonts w:ascii="仿宋_GB2312" w:hAnsi="仿宋_GB2312" w:eastAsia="仿宋_GB2312" w:cs="仿宋_GB2312"/>
        </w:rPr>
      </w:pPr>
      <w:r>
        <w:rPr>
          <w:rFonts w:hint="eastAsia" w:ascii="仿宋_GB2312" w:hAnsi="仿宋_GB2312" w:eastAsia="仿宋_GB2312" w:cs="仿宋_GB2312"/>
        </w:rPr>
        <w:t>资源名称为用户内的用电、发电或储能设备。</w:t>
      </w:r>
    </w:p>
    <w:p w14:paraId="1B4525C6">
      <w:pPr>
        <w:numPr>
          <w:ilvl w:val="0"/>
          <w:numId w:val="12"/>
        </w:numPr>
        <w:rPr>
          <w:rFonts w:ascii="仿宋_GB2312" w:hAnsi="仿宋_GB2312" w:eastAsia="仿宋_GB2312" w:cs="仿宋_GB2312"/>
        </w:rPr>
      </w:pPr>
      <w:r>
        <w:rPr>
          <w:rFonts w:hint="eastAsia" w:ascii="仿宋_GB2312" w:hAnsi="仿宋_GB2312" w:eastAsia="仿宋_GB2312" w:cs="仿宋_GB2312"/>
        </w:rPr>
        <w:t>用电容量为资源正常用电时的有功功率。</w:t>
      </w:r>
    </w:p>
    <w:p w14:paraId="7CA73E7B">
      <w:pPr>
        <w:numPr>
          <w:ilvl w:val="0"/>
          <w:numId w:val="12"/>
        </w:numPr>
        <w:rPr>
          <w:rFonts w:ascii="仿宋_GB2312" w:hAnsi="仿宋_GB2312" w:eastAsia="仿宋_GB2312" w:cs="仿宋_GB2312"/>
        </w:rPr>
      </w:pPr>
      <w:r>
        <w:rPr>
          <w:rFonts w:hint="eastAsia" w:ascii="仿宋_GB2312" w:hAnsi="仿宋_GB2312" w:eastAsia="仿宋_GB2312" w:cs="仿宋_GB2312"/>
        </w:rPr>
        <w:t>调节类型包括：可调节、可中断、可平移。</w:t>
      </w:r>
    </w:p>
    <w:p w14:paraId="11115C3A">
      <w:pPr>
        <w:numPr>
          <w:ilvl w:val="0"/>
          <w:numId w:val="12"/>
        </w:numPr>
        <w:rPr>
          <w:rFonts w:ascii="仿宋_GB2312" w:hAnsi="仿宋_GB2312" w:eastAsia="仿宋_GB2312" w:cs="仿宋_GB2312"/>
        </w:rPr>
      </w:pPr>
      <w:r>
        <w:rPr>
          <w:rFonts w:hint="eastAsia" w:ascii="仿宋_GB2312" w:hAnsi="仿宋_GB2312" w:eastAsia="仿宋_GB2312" w:cs="仿宋_GB2312"/>
        </w:rPr>
        <w:t>最大调节功率为资源正常使用情况下与调整后最小功率的差值。</w:t>
      </w:r>
    </w:p>
    <w:p w14:paraId="534E6FC4">
      <w:pPr>
        <w:numPr>
          <w:ilvl w:val="0"/>
          <w:numId w:val="12"/>
        </w:numPr>
        <w:rPr>
          <w:rFonts w:ascii="仿宋_GB2312" w:hAnsi="仿宋_GB2312" w:eastAsia="仿宋_GB2312" w:cs="仿宋_GB2312"/>
        </w:rPr>
      </w:pPr>
      <w:r>
        <w:rPr>
          <w:rFonts w:hint="eastAsia" w:ascii="仿宋_GB2312" w:hAnsi="仿宋_GB2312" w:eastAsia="仿宋_GB2312" w:cs="仿宋_GB2312"/>
        </w:rPr>
        <w:t>提前时间为资源调节功率前的信息发送的最少时长，包括分钟级（5分钟），2小时，1天。</w:t>
      </w:r>
    </w:p>
    <w:p w14:paraId="29019364">
      <w:pPr>
        <w:numPr>
          <w:ilvl w:val="0"/>
          <w:numId w:val="12"/>
        </w:numPr>
        <w:rPr>
          <w:rFonts w:ascii="仿宋_GB2312" w:hAnsi="仿宋_GB2312" w:eastAsia="仿宋_GB2312" w:cs="仿宋_GB2312"/>
        </w:rPr>
      </w:pPr>
      <w:r>
        <w:rPr>
          <w:rFonts w:hint="eastAsia" w:ascii="仿宋_GB2312" w:hAnsi="仿宋_GB2312" w:eastAsia="仿宋_GB2312" w:cs="仿宋_GB2312"/>
        </w:rPr>
        <w:t>持续时长为资源单次调节到最小功率后的最长持续时间。</w:t>
      </w:r>
    </w:p>
    <w:p w14:paraId="2D69D158">
      <w:pPr>
        <w:pStyle w:val="2"/>
      </w:pPr>
    </w:p>
    <w:p w14:paraId="4A6830B5"/>
    <w:p w14:paraId="5839B3ED">
      <w:pPr>
        <w:pStyle w:val="2"/>
        <w:wordWrap w:val="0"/>
        <w:jc w:val="right"/>
        <w:rPr>
          <w:rFonts w:ascii="仿宋_GB2312" w:hAnsi="宋体" w:eastAsia="仿宋_GB2312" w:cs="Times New Roman"/>
          <w:sz w:val="28"/>
          <w:szCs w:val="28"/>
        </w:rPr>
      </w:pPr>
      <w:r>
        <w:rPr>
          <w:rFonts w:hint="eastAsia" w:ascii="仿宋_GB2312" w:hAnsi="宋体" w:eastAsia="仿宋_GB2312" w:cs="Times New Roman"/>
          <w:sz w:val="28"/>
          <w:szCs w:val="28"/>
        </w:rPr>
        <w:t xml:space="preserve">甲方(盖章)：              </w:t>
      </w:r>
    </w:p>
    <w:p w14:paraId="1E13F35C">
      <w:pPr>
        <w:pStyle w:val="2"/>
        <w:wordWrap w:val="0"/>
        <w:jc w:val="right"/>
        <w:rPr>
          <w:rFonts w:ascii="仿宋_GB2312" w:hAnsi="宋体" w:eastAsia="仿宋_GB2312" w:cs="Times New Roman"/>
          <w:sz w:val="28"/>
          <w:szCs w:val="28"/>
        </w:rPr>
      </w:pP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年</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月</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日</w:t>
      </w:r>
    </w:p>
    <w:p w14:paraId="1B7B0F8E">
      <w:pPr>
        <w:sectPr>
          <w:footerReference r:id="rId6" w:type="default"/>
          <w:type w:val="continuous"/>
          <w:pgSz w:w="11906" w:h="16838"/>
          <w:pgMar w:top="1440" w:right="1800" w:bottom="1440" w:left="1800" w:header="851" w:footer="992" w:gutter="0"/>
          <w:pgNumType w:fmt="numberInDash"/>
          <w:cols w:space="425" w:num="1"/>
          <w:docGrid w:type="lines" w:linePitch="312" w:charSpace="0"/>
        </w:sectPr>
      </w:pPr>
      <w:r>
        <w:br w:type="page"/>
      </w:r>
    </w:p>
    <w:p w14:paraId="2D45407C">
      <w:pPr>
        <w:pStyle w:val="28"/>
        <w:tabs>
          <w:tab w:val="left" w:pos="0"/>
        </w:tabs>
        <w:adjustRightInd w:val="0"/>
        <w:snapToGrid w:val="0"/>
        <w:spacing w:line="560" w:lineRule="exact"/>
        <w:ind w:firstLine="0" w:firstLineChars="0"/>
        <w:jc w:val="both"/>
        <w:outlineLvl w:val="0"/>
        <w:rPr>
          <w:rFonts w:hint="default" w:ascii="黑体" w:hAnsi="黑体" w:eastAsia="黑体" w:cs="黑体"/>
          <w:b w:val="0"/>
          <w:bCs/>
          <w:sz w:val="32"/>
          <w:szCs w:val="32"/>
        </w:rPr>
      </w:pPr>
      <w:r>
        <w:rPr>
          <w:rFonts w:hint="eastAsia" w:ascii="黑体" w:hAnsi="黑体" w:eastAsia="黑体" w:cs="黑体"/>
          <w:b w:val="0"/>
          <w:bCs/>
          <w:sz w:val="32"/>
          <w:szCs w:val="32"/>
        </w:rPr>
        <w:t>附录4</w:t>
      </w:r>
    </w:p>
    <w:p w14:paraId="41F4829F">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298BC598">
      <w:pPr>
        <w:tabs>
          <w:tab w:val="left" w:pos="7680"/>
        </w:tabs>
        <w:snapToGrid w:val="0"/>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虚拟电厂</w:t>
      </w:r>
      <w:r>
        <w:rPr>
          <w:rFonts w:hint="eastAsia" w:ascii="方正小标宋_GBK" w:hAnsi="方正小标宋_GBK" w:eastAsia="方正小标宋_GBK" w:cs="方正小标宋_GBK"/>
          <w:b w:val="0"/>
          <w:bCs w:val="0"/>
          <w:sz w:val="44"/>
          <w:szCs w:val="44"/>
        </w:rPr>
        <w:t>退出</w:t>
      </w:r>
      <w:r>
        <w:rPr>
          <w:rFonts w:hint="eastAsia" w:ascii="方正小标宋_GBK" w:hAnsi="方正小标宋_GBK" w:eastAsia="方正小标宋_GBK" w:cs="方正小标宋_GBK"/>
          <w:sz w:val="44"/>
          <w:szCs w:val="44"/>
        </w:rPr>
        <w:t>申请表</w:t>
      </w:r>
    </w:p>
    <w:tbl>
      <w:tblPr>
        <w:tblStyle w:val="20"/>
        <w:tblpPr w:leftFromText="180" w:rightFromText="180" w:vertAnchor="text" w:horzAnchor="page" w:tblpX="1803" w:tblpY="78"/>
        <w:tblOverlap w:val="never"/>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81"/>
        <w:gridCol w:w="1274"/>
        <w:gridCol w:w="1284"/>
        <w:gridCol w:w="613"/>
        <w:gridCol w:w="520"/>
        <w:gridCol w:w="1264"/>
        <w:gridCol w:w="1397"/>
      </w:tblGrid>
      <w:tr w14:paraId="12E65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1189" w:type="pct"/>
            <w:vAlign w:val="center"/>
          </w:tcPr>
          <w:p w14:paraId="3B34651C">
            <w:pPr>
              <w:pStyle w:val="42"/>
              <w:jc w:val="center"/>
              <w:rPr>
                <w:rFonts w:ascii="仿宋_GB2312" w:hAnsi="仿宋_GB2312" w:eastAsia="仿宋_GB2312" w:cs="仿宋_GB2312"/>
                <w:b/>
                <w:bCs/>
                <w:sz w:val="21"/>
                <w:szCs w:val="21"/>
              </w:rPr>
            </w:pPr>
            <w:r>
              <w:rPr>
                <w:rFonts w:hint="eastAsia" w:ascii="仿宋_GB2312" w:hAnsi="仿宋_GB2312" w:eastAsia="仿宋_GB2312" w:cs="仿宋_GB2312"/>
                <w:b/>
                <w:bCs/>
                <w:spacing w:val="-1"/>
                <w:sz w:val="21"/>
                <w:szCs w:val="21"/>
              </w:rPr>
              <w:t>虚拟电厂运营商全称</w:t>
            </w:r>
          </w:p>
        </w:tc>
        <w:tc>
          <w:tcPr>
            <w:tcW w:w="3810" w:type="pct"/>
            <w:gridSpan w:val="6"/>
            <w:vAlign w:val="center"/>
          </w:tcPr>
          <w:p w14:paraId="2EC87780">
            <w:pPr>
              <w:jc w:val="center"/>
              <w:rPr>
                <w:rFonts w:ascii="仿宋_GB2312" w:hAnsi="仿宋_GB2312" w:cs="仿宋_GB2312"/>
                <w:szCs w:val="21"/>
              </w:rPr>
            </w:pPr>
          </w:p>
        </w:tc>
      </w:tr>
      <w:tr w14:paraId="4DE3A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189" w:type="pct"/>
            <w:vMerge w:val="restart"/>
            <w:vAlign w:val="center"/>
          </w:tcPr>
          <w:p w14:paraId="3A134FB8">
            <w:pPr>
              <w:pStyle w:val="42"/>
              <w:jc w:val="center"/>
              <w:rPr>
                <w:rFonts w:ascii="仿宋_GB2312" w:hAnsi="仿宋_GB2312" w:eastAsia="仿宋_GB2312" w:cs="仿宋_GB2312"/>
                <w:b/>
                <w:bCs/>
                <w:spacing w:val="-2"/>
                <w:sz w:val="21"/>
                <w:szCs w:val="21"/>
                <w:lang w:eastAsia="zh-CN"/>
              </w:rPr>
            </w:pPr>
            <w:r>
              <w:rPr>
                <w:rFonts w:hint="eastAsia" w:ascii="仿宋_GB2312" w:hAnsi="仿宋_GB2312" w:eastAsia="仿宋_GB2312" w:cs="仿宋_GB2312"/>
                <w:b/>
                <w:bCs/>
                <w:spacing w:val="-2"/>
                <w:sz w:val="21"/>
                <w:szCs w:val="21"/>
                <w:lang w:eastAsia="zh-CN"/>
              </w:rPr>
              <w:t>虚拟电厂代理</w:t>
            </w:r>
          </w:p>
          <w:p w14:paraId="1C20378A">
            <w:pPr>
              <w:pStyle w:val="42"/>
              <w:jc w:val="center"/>
              <w:rPr>
                <w:rFonts w:ascii="仿宋_GB2312" w:hAnsi="仿宋_GB2312" w:eastAsia="仿宋_GB2312" w:cs="仿宋_GB2312"/>
                <w:b/>
                <w:bCs/>
                <w:spacing w:val="-2"/>
                <w:sz w:val="21"/>
                <w:szCs w:val="21"/>
                <w:lang w:eastAsia="zh-CN"/>
              </w:rPr>
            </w:pPr>
            <w:r>
              <w:rPr>
                <w:rFonts w:hint="eastAsia" w:ascii="仿宋_GB2312" w:hAnsi="仿宋_GB2312" w:eastAsia="仿宋_GB2312" w:cs="仿宋_GB2312"/>
                <w:b/>
                <w:bCs/>
                <w:spacing w:val="-2"/>
                <w:sz w:val="21"/>
                <w:szCs w:val="21"/>
                <w:lang w:eastAsia="zh-CN"/>
              </w:rPr>
              <w:t>用户注销清单</w:t>
            </w:r>
          </w:p>
        </w:tc>
        <w:tc>
          <w:tcPr>
            <w:tcW w:w="1902" w:type="pct"/>
            <w:gridSpan w:val="3"/>
            <w:vAlign w:val="center"/>
          </w:tcPr>
          <w:p w14:paraId="533CDD4B">
            <w:pPr>
              <w:jc w:val="center"/>
              <w:rPr>
                <w:rFonts w:ascii="仿宋_GB2312" w:hAnsi="仿宋_GB2312" w:eastAsia="仿宋_GB2312" w:cs="仿宋_GB2312"/>
                <w:b/>
                <w:bCs/>
                <w:szCs w:val="21"/>
              </w:rPr>
            </w:pPr>
            <w:r>
              <w:rPr>
                <w:rFonts w:hint="eastAsia" w:ascii="仿宋_GB2312" w:hAnsi="仿宋_GB2312" w:cs="仿宋_GB2312"/>
                <w:b/>
                <w:bCs/>
                <w:szCs w:val="21"/>
              </w:rPr>
              <w:t>用户编号</w:t>
            </w:r>
          </w:p>
        </w:tc>
        <w:tc>
          <w:tcPr>
            <w:tcW w:w="1907" w:type="pct"/>
            <w:gridSpan w:val="3"/>
            <w:vAlign w:val="center"/>
          </w:tcPr>
          <w:p w14:paraId="4C3C376B">
            <w:pPr>
              <w:jc w:val="center"/>
              <w:rPr>
                <w:rFonts w:ascii="仿宋_GB2312" w:hAnsi="仿宋_GB2312" w:eastAsia="仿宋_GB2312" w:cs="仿宋_GB2312"/>
                <w:b/>
                <w:bCs/>
                <w:szCs w:val="21"/>
              </w:rPr>
            </w:pPr>
            <w:r>
              <w:rPr>
                <w:rFonts w:hint="eastAsia" w:ascii="仿宋_GB2312" w:hAnsi="仿宋_GB2312" w:cs="仿宋_GB2312"/>
                <w:b/>
                <w:bCs/>
                <w:szCs w:val="21"/>
              </w:rPr>
              <w:t>用户名称</w:t>
            </w:r>
          </w:p>
        </w:tc>
      </w:tr>
      <w:tr w14:paraId="4483B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189" w:type="pct"/>
            <w:vMerge w:val="continue"/>
            <w:vAlign w:val="center"/>
          </w:tcPr>
          <w:p w14:paraId="6CB6AB59">
            <w:pPr>
              <w:jc w:val="center"/>
              <w:rPr>
                <w:rFonts w:ascii="仿宋_GB2312" w:hAnsi="仿宋_GB2312" w:cs="仿宋_GB2312"/>
                <w:b/>
                <w:bCs/>
                <w:szCs w:val="21"/>
              </w:rPr>
            </w:pPr>
          </w:p>
        </w:tc>
        <w:tc>
          <w:tcPr>
            <w:tcW w:w="1902" w:type="pct"/>
            <w:gridSpan w:val="3"/>
            <w:vAlign w:val="center"/>
          </w:tcPr>
          <w:p w14:paraId="193DAA6B">
            <w:pPr>
              <w:jc w:val="center"/>
              <w:rPr>
                <w:rFonts w:ascii="仿宋_GB2312" w:hAnsi="仿宋_GB2312" w:cs="仿宋_GB2312"/>
                <w:szCs w:val="21"/>
              </w:rPr>
            </w:pPr>
          </w:p>
        </w:tc>
        <w:tc>
          <w:tcPr>
            <w:tcW w:w="1907" w:type="pct"/>
            <w:gridSpan w:val="3"/>
            <w:vAlign w:val="center"/>
          </w:tcPr>
          <w:p w14:paraId="16B9C2C8">
            <w:pPr>
              <w:jc w:val="center"/>
              <w:rPr>
                <w:rFonts w:ascii="仿宋_GB2312" w:hAnsi="仿宋_GB2312" w:cs="仿宋_GB2312"/>
                <w:szCs w:val="21"/>
              </w:rPr>
            </w:pPr>
          </w:p>
        </w:tc>
      </w:tr>
      <w:tr w14:paraId="1D5A0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189" w:type="pct"/>
            <w:vMerge w:val="continue"/>
            <w:vAlign w:val="center"/>
          </w:tcPr>
          <w:p w14:paraId="00670282">
            <w:pPr>
              <w:jc w:val="center"/>
              <w:rPr>
                <w:rFonts w:ascii="仿宋_GB2312" w:hAnsi="仿宋_GB2312" w:cs="仿宋_GB2312"/>
                <w:b/>
                <w:bCs/>
                <w:szCs w:val="21"/>
              </w:rPr>
            </w:pPr>
          </w:p>
        </w:tc>
        <w:tc>
          <w:tcPr>
            <w:tcW w:w="1902" w:type="pct"/>
            <w:gridSpan w:val="3"/>
            <w:vAlign w:val="center"/>
          </w:tcPr>
          <w:p w14:paraId="0B23CDFE">
            <w:pPr>
              <w:jc w:val="center"/>
              <w:rPr>
                <w:rFonts w:ascii="仿宋_GB2312" w:hAnsi="仿宋_GB2312" w:cs="仿宋_GB2312"/>
                <w:szCs w:val="21"/>
              </w:rPr>
            </w:pPr>
          </w:p>
        </w:tc>
        <w:tc>
          <w:tcPr>
            <w:tcW w:w="1907" w:type="pct"/>
            <w:gridSpan w:val="3"/>
            <w:vAlign w:val="center"/>
          </w:tcPr>
          <w:p w14:paraId="054167CA">
            <w:pPr>
              <w:jc w:val="center"/>
              <w:rPr>
                <w:rFonts w:ascii="仿宋_GB2312" w:hAnsi="仿宋_GB2312" w:cs="仿宋_GB2312"/>
                <w:szCs w:val="21"/>
              </w:rPr>
            </w:pPr>
          </w:p>
        </w:tc>
      </w:tr>
      <w:tr w14:paraId="07BE9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189" w:type="pct"/>
            <w:vMerge w:val="continue"/>
            <w:vAlign w:val="center"/>
          </w:tcPr>
          <w:p w14:paraId="4AA466C3">
            <w:pPr>
              <w:jc w:val="center"/>
              <w:rPr>
                <w:rFonts w:ascii="仿宋_GB2312" w:hAnsi="仿宋_GB2312" w:cs="仿宋_GB2312"/>
                <w:b/>
                <w:bCs/>
                <w:szCs w:val="21"/>
              </w:rPr>
            </w:pPr>
          </w:p>
        </w:tc>
        <w:tc>
          <w:tcPr>
            <w:tcW w:w="1902" w:type="pct"/>
            <w:gridSpan w:val="3"/>
            <w:vAlign w:val="center"/>
          </w:tcPr>
          <w:p w14:paraId="457C779A">
            <w:pPr>
              <w:jc w:val="center"/>
              <w:rPr>
                <w:rFonts w:ascii="仿宋_GB2312" w:hAnsi="仿宋_GB2312" w:cs="仿宋_GB2312"/>
                <w:szCs w:val="21"/>
              </w:rPr>
            </w:pPr>
          </w:p>
        </w:tc>
        <w:tc>
          <w:tcPr>
            <w:tcW w:w="1907" w:type="pct"/>
            <w:gridSpan w:val="3"/>
            <w:vAlign w:val="center"/>
          </w:tcPr>
          <w:p w14:paraId="3E1B3E42">
            <w:pPr>
              <w:jc w:val="center"/>
              <w:rPr>
                <w:rFonts w:ascii="仿宋_GB2312" w:hAnsi="仿宋_GB2312" w:cs="仿宋_GB2312"/>
                <w:szCs w:val="21"/>
              </w:rPr>
            </w:pPr>
          </w:p>
        </w:tc>
      </w:tr>
      <w:tr w14:paraId="14DC5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189" w:type="pct"/>
            <w:vMerge w:val="continue"/>
            <w:vAlign w:val="center"/>
          </w:tcPr>
          <w:p w14:paraId="638F59CF">
            <w:pPr>
              <w:jc w:val="center"/>
              <w:rPr>
                <w:rFonts w:ascii="仿宋_GB2312" w:hAnsi="仿宋_GB2312" w:cs="仿宋_GB2312"/>
                <w:b/>
                <w:bCs/>
                <w:szCs w:val="21"/>
              </w:rPr>
            </w:pPr>
          </w:p>
        </w:tc>
        <w:tc>
          <w:tcPr>
            <w:tcW w:w="1902" w:type="pct"/>
            <w:gridSpan w:val="3"/>
            <w:vAlign w:val="center"/>
          </w:tcPr>
          <w:p w14:paraId="561C8E60">
            <w:pPr>
              <w:jc w:val="center"/>
              <w:rPr>
                <w:rFonts w:ascii="仿宋_GB2312" w:hAnsi="仿宋_GB2312" w:cs="仿宋_GB2312"/>
                <w:szCs w:val="21"/>
              </w:rPr>
            </w:pPr>
          </w:p>
        </w:tc>
        <w:tc>
          <w:tcPr>
            <w:tcW w:w="1907" w:type="pct"/>
            <w:gridSpan w:val="3"/>
            <w:vAlign w:val="center"/>
          </w:tcPr>
          <w:p w14:paraId="10303A57">
            <w:pPr>
              <w:jc w:val="center"/>
              <w:rPr>
                <w:rFonts w:ascii="仿宋_GB2312" w:hAnsi="仿宋_GB2312" w:cs="仿宋_GB2312"/>
                <w:szCs w:val="21"/>
              </w:rPr>
            </w:pPr>
          </w:p>
        </w:tc>
      </w:tr>
      <w:tr w14:paraId="17752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189" w:type="pct"/>
            <w:vAlign w:val="center"/>
          </w:tcPr>
          <w:p w14:paraId="65573438">
            <w:pPr>
              <w:pStyle w:val="42"/>
              <w:jc w:val="center"/>
              <w:rPr>
                <w:rFonts w:ascii="仿宋_GB2312" w:hAnsi="仿宋_GB2312" w:eastAsia="仿宋_GB2312" w:cs="仿宋_GB2312"/>
                <w:b/>
                <w:bCs/>
                <w:spacing w:val="2"/>
                <w:sz w:val="21"/>
                <w:szCs w:val="21"/>
                <w:lang w:eastAsia="zh-CN"/>
              </w:rPr>
            </w:pPr>
            <w:r>
              <w:rPr>
                <w:rFonts w:hint="eastAsia" w:ascii="仿宋_GB2312" w:hAnsi="仿宋_GB2312" w:eastAsia="仿宋_GB2312" w:cs="仿宋_GB2312"/>
                <w:b/>
                <w:bCs/>
                <w:spacing w:val="2"/>
                <w:sz w:val="21"/>
                <w:szCs w:val="21"/>
                <w:lang w:eastAsia="zh-CN"/>
              </w:rPr>
              <w:t>计划终止时间</w:t>
            </w:r>
          </w:p>
        </w:tc>
        <w:tc>
          <w:tcPr>
            <w:tcW w:w="3810" w:type="pct"/>
            <w:gridSpan w:val="6"/>
            <w:vAlign w:val="center"/>
          </w:tcPr>
          <w:p w14:paraId="2669886C">
            <w:pPr>
              <w:jc w:val="center"/>
              <w:rPr>
                <w:rFonts w:ascii="仿宋_GB2312" w:hAnsi="仿宋_GB2312" w:cs="仿宋_GB2312"/>
                <w:szCs w:val="21"/>
              </w:rPr>
            </w:pPr>
          </w:p>
        </w:tc>
      </w:tr>
      <w:tr w14:paraId="33905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8" w:hRule="atLeast"/>
        </w:trPr>
        <w:tc>
          <w:tcPr>
            <w:tcW w:w="1189" w:type="pct"/>
            <w:vAlign w:val="center"/>
          </w:tcPr>
          <w:p w14:paraId="392E9A79">
            <w:pPr>
              <w:pStyle w:val="42"/>
              <w:jc w:val="center"/>
              <w:rPr>
                <w:rFonts w:ascii="仿宋_GB2312" w:hAnsi="仿宋_GB2312" w:eastAsia="仿宋_GB2312" w:cs="仿宋_GB2312"/>
                <w:b/>
                <w:bCs/>
                <w:sz w:val="21"/>
                <w:szCs w:val="21"/>
              </w:rPr>
            </w:pPr>
            <w:r>
              <w:rPr>
                <w:rFonts w:hint="eastAsia" w:ascii="仿宋_GB2312" w:hAnsi="仿宋_GB2312" w:eastAsia="仿宋_GB2312" w:cs="仿宋_GB2312"/>
                <w:b/>
                <w:bCs/>
                <w:spacing w:val="5"/>
                <w:sz w:val="21"/>
                <w:szCs w:val="21"/>
              </w:rPr>
              <w:t>退出理由</w:t>
            </w:r>
          </w:p>
        </w:tc>
        <w:tc>
          <w:tcPr>
            <w:tcW w:w="3810" w:type="pct"/>
            <w:gridSpan w:val="6"/>
            <w:vAlign w:val="center"/>
          </w:tcPr>
          <w:p w14:paraId="031B28F1">
            <w:pPr>
              <w:jc w:val="center"/>
              <w:rPr>
                <w:rFonts w:ascii="仿宋_GB2312" w:hAnsi="仿宋_GB2312" w:cs="仿宋_GB2312"/>
                <w:szCs w:val="21"/>
              </w:rPr>
            </w:pPr>
          </w:p>
          <w:p w14:paraId="6DEBB7E8">
            <w:pPr>
              <w:jc w:val="center"/>
              <w:rPr>
                <w:rFonts w:ascii="仿宋_GB2312" w:hAnsi="仿宋_GB2312" w:cs="仿宋_GB2312"/>
                <w:szCs w:val="21"/>
              </w:rPr>
            </w:pPr>
          </w:p>
          <w:p w14:paraId="1FD3FEDC">
            <w:pPr>
              <w:jc w:val="center"/>
              <w:rPr>
                <w:rFonts w:ascii="仿宋_GB2312" w:hAnsi="仿宋_GB2312" w:cs="仿宋_GB2312"/>
                <w:szCs w:val="21"/>
              </w:rPr>
            </w:pPr>
          </w:p>
          <w:p w14:paraId="78D0C698">
            <w:pPr>
              <w:jc w:val="center"/>
              <w:rPr>
                <w:rFonts w:ascii="仿宋_GB2312" w:hAnsi="仿宋_GB2312" w:cs="仿宋_GB2312"/>
                <w:szCs w:val="21"/>
              </w:rPr>
            </w:pPr>
          </w:p>
          <w:p w14:paraId="21E4E7F1">
            <w:pPr>
              <w:jc w:val="center"/>
              <w:rPr>
                <w:rFonts w:ascii="仿宋_GB2312" w:hAnsi="仿宋_GB2312" w:cs="仿宋_GB2312"/>
                <w:szCs w:val="21"/>
              </w:rPr>
            </w:pPr>
          </w:p>
          <w:p w14:paraId="276D528D">
            <w:pPr>
              <w:jc w:val="center"/>
              <w:rPr>
                <w:rFonts w:ascii="仿宋_GB2312" w:hAnsi="仿宋_GB2312" w:cs="仿宋_GB2312"/>
                <w:szCs w:val="21"/>
              </w:rPr>
            </w:pPr>
          </w:p>
          <w:p w14:paraId="6169D8BF">
            <w:pPr>
              <w:jc w:val="center"/>
              <w:rPr>
                <w:rFonts w:ascii="仿宋_GB2312" w:hAnsi="仿宋_GB2312" w:cs="仿宋_GB2312"/>
                <w:szCs w:val="21"/>
              </w:rPr>
            </w:pPr>
          </w:p>
          <w:p w14:paraId="13B00D67">
            <w:pPr>
              <w:jc w:val="center"/>
              <w:rPr>
                <w:rFonts w:ascii="仿宋_GB2312" w:hAnsi="仿宋_GB2312" w:cs="仿宋_GB2312"/>
                <w:szCs w:val="21"/>
              </w:rPr>
            </w:pPr>
          </w:p>
          <w:p w14:paraId="7631C6D2">
            <w:pPr>
              <w:jc w:val="center"/>
              <w:rPr>
                <w:rFonts w:ascii="仿宋_GB2312" w:hAnsi="仿宋_GB2312" w:cs="仿宋_GB2312"/>
                <w:szCs w:val="21"/>
              </w:rPr>
            </w:pPr>
          </w:p>
          <w:p w14:paraId="1404EFCE">
            <w:pPr>
              <w:jc w:val="center"/>
              <w:rPr>
                <w:rFonts w:ascii="仿宋_GB2312" w:hAnsi="仿宋_GB2312" w:cs="仿宋_GB2312"/>
                <w:szCs w:val="21"/>
              </w:rPr>
            </w:pPr>
          </w:p>
          <w:p w14:paraId="719C0723">
            <w:pPr>
              <w:jc w:val="center"/>
              <w:rPr>
                <w:rFonts w:ascii="仿宋_GB2312" w:hAnsi="仿宋_GB2312" w:cs="仿宋_GB2312"/>
                <w:szCs w:val="21"/>
              </w:rPr>
            </w:pPr>
          </w:p>
          <w:p w14:paraId="6CF43EDB">
            <w:pPr>
              <w:jc w:val="center"/>
              <w:rPr>
                <w:rFonts w:ascii="仿宋_GB2312" w:hAnsi="仿宋_GB2312" w:cs="仿宋_GB2312"/>
                <w:szCs w:val="21"/>
              </w:rPr>
            </w:pPr>
          </w:p>
          <w:p w14:paraId="535CBED7">
            <w:pPr>
              <w:jc w:val="center"/>
              <w:rPr>
                <w:rFonts w:ascii="仿宋_GB2312" w:hAnsi="仿宋_GB2312" w:cs="仿宋_GB2312"/>
                <w:szCs w:val="21"/>
              </w:rPr>
            </w:pPr>
          </w:p>
          <w:p w14:paraId="547F32AC">
            <w:pPr>
              <w:jc w:val="center"/>
              <w:rPr>
                <w:rFonts w:ascii="仿宋_GB2312" w:hAnsi="仿宋_GB2312" w:cs="仿宋_GB2312"/>
                <w:szCs w:val="21"/>
              </w:rPr>
            </w:pPr>
          </w:p>
          <w:p w14:paraId="5443EBF4">
            <w:pPr>
              <w:jc w:val="center"/>
              <w:rPr>
                <w:rFonts w:ascii="仿宋_GB2312" w:hAnsi="仿宋_GB2312" w:cs="仿宋_GB2312"/>
                <w:szCs w:val="21"/>
              </w:rPr>
            </w:pPr>
          </w:p>
          <w:p w14:paraId="2C79DD60">
            <w:pPr>
              <w:jc w:val="center"/>
              <w:rPr>
                <w:rFonts w:ascii="仿宋_GB2312" w:hAnsi="仿宋_GB2312" w:cs="仿宋_GB2312"/>
                <w:szCs w:val="21"/>
              </w:rPr>
            </w:pPr>
          </w:p>
          <w:p w14:paraId="67BD215B">
            <w:pPr>
              <w:jc w:val="center"/>
              <w:rPr>
                <w:rFonts w:ascii="仿宋_GB2312" w:hAnsi="仿宋_GB2312" w:cs="仿宋_GB2312"/>
                <w:szCs w:val="21"/>
              </w:rPr>
            </w:pPr>
          </w:p>
          <w:p w14:paraId="51BF7476">
            <w:pPr>
              <w:jc w:val="center"/>
              <w:rPr>
                <w:rFonts w:ascii="仿宋_GB2312" w:hAnsi="仿宋_GB2312" w:cs="仿宋_GB2312"/>
                <w:szCs w:val="21"/>
              </w:rPr>
            </w:pPr>
          </w:p>
          <w:p w14:paraId="62E4D718">
            <w:pPr>
              <w:jc w:val="center"/>
              <w:rPr>
                <w:rFonts w:ascii="仿宋_GB2312" w:hAnsi="仿宋_GB2312" w:cs="仿宋_GB2312"/>
                <w:szCs w:val="21"/>
              </w:rPr>
            </w:pPr>
          </w:p>
          <w:p w14:paraId="5C0C558F">
            <w:pPr>
              <w:pStyle w:val="42"/>
              <w:jc w:val="center"/>
              <w:rPr>
                <w:rFonts w:ascii="仿宋_GB2312" w:hAnsi="仿宋_GB2312" w:eastAsia="仿宋_GB2312" w:cs="仿宋_GB2312"/>
                <w:sz w:val="21"/>
                <w:szCs w:val="21"/>
                <w:lang w:eastAsia="zh-CN"/>
              </w:rPr>
            </w:pPr>
            <w:r>
              <w:rPr>
                <w:rFonts w:hint="eastAsia" w:ascii="仿宋_GB2312" w:hAnsi="仿宋_GB2312" w:eastAsia="仿宋_GB2312" w:cs="仿宋_GB2312"/>
                <w:spacing w:val="4"/>
                <w:sz w:val="21"/>
                <w:szCs w:val="21"/>
                <w:lang w:eastAsia="zh-CN"/>
              </w:rPr>
              <w:t>申请单位（盖章）:</w:t>
            </w:r>
            <w:r>
              <w:rPr>
                <w:rFonts w:hint="eastAsia" w:ascii="仿宋_GB2312" w:hAnsi="仿宋_GB2312" w:eastAsia="仿宋_GB2312" w:cs="仿宋_GB2312"/>
                <w:sz w:val="21"/>
                <w:szCs w:val="21"/>
                <w:lang w:eastAsia="zh-CN"/>
              </w:rPr>
              <w:t xml:space="preserve">             </w:t>
            </w:r>
            <w:r>
              <w:rPr>
                <w:rFonts w:hint="eastAsia" w:ascii="仿宋_GB2312" w:hAnsi="仿宋_GB2312" w:eastAsia="仿宋_GB2312" w:cs="仿宋_GB2312"/>
                <w:spacing w:val="-1"/>
                <w:sz w:val="21"/>
                <w:szCs w:val="21"/>
                <w:lang w:eastAsia="zh-CN"/>
              </w:rPr>
              <w:t>申请时间：</w:t>
            </w:r>
          </w:p>
        </w:tc>
      </w:tr>
      <w:tr w14:paraId="6629A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189" w:type="pct"/>
            <w:vAlign w:val="center"/>
          </w:tcPr>
          <w:p w14:paraId="56334118">
            <w:pPr>
              <w:pStyle w:val="42"/>
              <w:jc w:val="center"/>
              <w:rPr>
                <w:rFonts w:ascii="仿宋_GB2312" w:hAnsi="仿宋_GB2312" w:eastAsia="仿宋_GB2312" w:cs="仿宋_GB2312"/>
                <w:b/>
                <w:bCs/>
                <w:sz w:val="21"/>
                <w:szCs w:val="21"/>
              </w:rPr>
            </w:pPr>
            <w:r>
              <w:rPr>
                <w:rFonts w:hint="eastAsia" w:ascii="仿宋_GB2312" w:hAnsi="仿宋_GB2312" w:eastAsia="仿宋_GB2312" w:cs="仿宋_GB2312"/>
                <w:b/>
                <w:bCs/>
                <w:spacing w:val="2"/>
                <w:sz w:val="21"/>
                <w:szCs w:val="21"/>
              </w:rPr>
              <w:t>申请人</w:t>
            </w:r>
          </w:p>
        </w:tc>
        <w:tc>
          <w:tcPr>
            <w:tcW w:w="764" w:type="pct"/>
            <w:vAlign w:val="center"/>
          </w:tcPr>
          <w:p w14:paraId="52542C9D">
            <w:pPr>
              <w:jc w:val="center"/>
              <w:rPr>
                <w:rFonts w:ascii="仿宋_GB2312" w:hAnsi="仿宋_GB2312" w:cs="仿宋_GB2312"/>
                <w:szCs w:val="21"/>
              </w:rPr>
            </w:pPr>
          </w:p>
        </w:tc>
        <w:tc>
          <w:tcPr>
            <w:tcW w:w="770" w:type="pct"/>
            <w:vAlign w:val="center"/>
          </w:tcPr>
          <w:p w14:paraId="187931CF">
            <w:pPr>
              <w:pStyle w:val="42"/>
              <w:jc w:val="center"/>
              <w:rPr>
                <w:rFonts w:ascii="仿宋_GB2312" w:hAnsi="仿宋_GB2312" w:eastAsia="仿宋_GB2312" w:cs="仿宋_GB2312"/>
                <w:sz w:val="21"/>
                <w:szCs w:val="21"/>
              </w:rPr>
            </w:pPr>
            <w:r>
              <w:rPr>
                <w:rFonts w:hint="eastAsia" w:ascii="仿宋_GB2312" w:hAnsi="仿宋_GB2312" w:eastAsia="仿宋_GB2312" w:cs="仿宋_GB2312"/>
                <w:spacing w:val="-2"/>
                <w:sz w:val="21"/>
                <w:szCs w:val="21"/>
              </w:rPr>
              <w:t>联系电话</w:t>
            </w:r>
          </w:p>
        </w:tc>
        <w:tc>
          <w:tcPr>
            <w:tcW w:w="680" w:type="pct"/>
            <w:gridSpan w:val="2"/>
            <w:vAlign w:val="center"/>
          </w:tcPr>
          <w:p w14:paraId="6D6EDAA7">
            <w:pPr>
              <w:jc w:val="center"/>
              <w:rPr>
                <w:rFonts w:ascii="仿宋_GB2312" w:hAnsi="仿宋_GB2312" w:cs="仿宋_GB2312"/>
                <w:szCs w:val="21"/>
              </w:rPr>
            </w:pPr>
          </w:p>
        </w:tc>
        <w:tc>
          <w:tcPr>
            <w:tcW w:w="758" w:type="pct"/>
            <w:vAlign w:val="center"/>
          </w:tcPr>
          <w:p w14:paraId="1DEF0CE0">
            <w:pPr>
              <w:pStyle w:val="42"/>
              <w:jc w:val="center"/>
              <w:rPr>
                <w:rFonts w:ascii="仿宋_GB2312" w:hAnsi="仿宋_GB2312" w:eastAsia="仿宋_GB2312" w:cs="仿宋_GB2312"/>
                <w:sz w:val="21"/>
                <w:szCs w:val="21"/>
              </w:rPr>
            </w:pPr>
            <w:r>
              <w:rPr>
                <w:rFonts w:hint="eastAsia" w:ascii="仿宋_GB2312" w:hAnsi="仿宋_GB2312" w:eastAsia="仿宋_GB2312" w:cs="仿宋_GB2312"/>
                <w:spacing w:val="2"/>
                <w:sz w:val="21"/>
                <w:szCs w:val="21"/>
              </w:rPr>
              <w:t>电子邮箱</w:t>
            </w:r>
          </w:p>
        </w:tc>
        <w:tc>
          <w:tcPr>
            <w:tcW w:w="837" w:type="pct"/>
            <w:vAlign w:val="center"/>
          </w:tcPr>
          <w:p w14:paraId="7C057ED9">
            <w:pPr>
              <w:jc w:val="center"/>
              <w:rPr>
                <w:rFonts w:ascii="仿宋_GB2312" w:hAnsi="仿宋_GB2312" w:cs="仿宋_GB2312"/>
                <w:szCs w:val="21"/>
              </w:rPr>
            </w:pPr>
          </w:p>
        </w:tc>
      </w:tr>
    </w:tbl>
    <w:p w14:paraId="19A07A5F">
      <w:pPr>
        <w:rPr>
          <w:rFonts w:ascii="Times New Roman" w:hAnsi="Times New Roman" w:eastAsia="黑体" w:cs="Times New Roman"/>
          <w:b/>
          <w:sz w:val="32"/>
          <w:szCs w:val="32"/>
        </w:rPr>
      </w:pPr>
      <w:r>
        <w:rPr>
          <w:rFonts w:ascii="Times New Roman" w:hAnsi="Times New Roman" w:eastAsia="黑体" w:cs="Times New Roman"/>
          <w:b/>
          <w:sz w:val="32"/>
          <w:szCs w:val="32"/>
        </w:rPr>
        <w:br w:type="page"/>
      </w:r>
    </w:p>
    <w:p w14:paraId="6725BB1A">
      <w:pPr>
        <w:pStyle w:val="33"/>
        <w:tabs>
          <w:tab w:val="left" w:pos="6720"/>
        </w:tabs>
        <w:spacing w:line="560" w:lineRule="exact"/>
        <w:ind w:firstLine="0" w:firstLineChars="0"/>
        <w:outlineLvl w:val="1"/>
        <w:rPr>
          <w:rFonts w:hint="eastAsia" w:ascii="黑体" w:hAnsi="黑体" w:eastAsia="黑体" w:cs="黑体"/>
          <w:b w:val="0"/>
          <w:bCs/>
          <w:sz w:val="32"/>
          <w:szCs w:val="32"/>
        </w:rPr>
      </w:pPr>
      <w:r>
        <w:rPr>
          <w:rFonts w:hint="eastAsia" w:ascii="黑体" w:hAnsi="黑体" w:eastAsia="黑体" w:cs="黑体"/>
          <w:b w:val="0"/>
          <w:bCs/>
          <w:sz w:val="32"/>
          <w:szCs w:val="32"/>
        </w:rPr>
        <w:t>附录5</w:t>
      </w:r>
    </w:p>
    <w:p w14:paraId="4F92727F">
      <w:pPr>
        <w:tabs>
          <w:tab w:val="left" w:pos="7680"/>
        </w:tabs>
        <w:snapToGrid w:val="0"/>
        <w:spacing w:after="120" w:line="560" w:lineRule="exact"/>
        <w:jc w:val="center"/>
        <w:rPr>
          <w:rFonts w:ascii="方正小标宋_GBK" w:hAnsi="方正小标宋_GBK" w:eastAsia="方正小标宋_GBK" w:cs="方正小标宋_GBK"/>
          <w:b/>
          <w:bCs/>
          <w:sz w:val="44"/>
          <w:szCs w:val="44"/>
        </w:rPr>
      </w:pPr>
    </w:p>
    <w:p w14:paraId="477685DF">
      <w:pPr>
        <w:tabs>
          <w:tab w:val="left" w:pos="7680"/>
        </w:tabs>
        <w:snapToGrid w:val="0"/>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虚拟电厂接入虚拟电厂管理平台设计方案</w:t>
      </w:r>
    </w:p>
    <w:p w14:paraId="4A3C3F04">
      <w:pPr>
        <w:tabs>
          <w:tab w:val="left" w:pos="7680"/>
        </w:tabs>
        <w:adjustRightInd w:val="0"/>
        <w:snapToGrid w:val="0"/>
        <w:spacing w:line="560" w:lineRule="exact"/>
        <w:ind w:firstLine="883" w:firstLineChars="200"/>
        <w:jc w:val="center"/>
        <w:rPr>
          <w:rFonts w:ascii="方正小标宋_GBK" w:hAnsi="方正小标宋_GBK" w:eastAsia="方正小标宋_GBK" w:cs="方正小标宋_GBK"/>
          <w:b/>
          <w:bCs/>
          <w:sz w:val="44"/>
          <w:szCs w:val="44"/>
        </w:rPr>
      </w:pPr>
    </w:p>
    <w:p w14:paraId="5CF13F59">
      <w:pPr>
        <w:keepNext/>
        <w:keepLines/>
        <w:numPr>
          <w:ilvl w:val="255"/>
          <w:numId w:val="0"/>
        </w:numPr>
        <w:tabs>
          <w:tab w:val="left" w:pos="0"/>
        </w:tabs>
        <w:spacing w:before="160" w:after="80" w:line="560" w:lineRule="exact"/>
        <w:ind w:firstLine="640" w:firstLineChars="200"/>
        <w:rPr>
          <w:rFonts w:ascii="黑体" w:hAnsi="黑体" w:eastAsia="黑体" w:cs="黑体"/>
          <w:color w:val="2F5597" w:themeColor="accent1" w:themeShade="BF"/>
          <w:sz w:val="40"/>
          <w:szCs w:val="32"/>
        </w:rPr>
      </w:pPr>
      <w:r>
        <w:rPr>
          <w:rFonts w:hint="eastAsia" w:ascii="黑体" w:hAnsi="黑体" w:eastAsia="黑体" w:cs="黑体"/>
          <w:sz w:val="32"/>
          <w:szCs w:val="32"/>
        </w:rPr>
        <w:t>一、术语和定义</w:t>
      </w:r>
    </w:p>
    <w:p w14:paraId="3DB2902B">
      <w:pPr>
        <w:keepNext/>
        <w:keepLines/>
        <w:tabs>
          <w:tab w:val="left" w:pos="420"/>
        </w:tabs>
        <w:adjustRightInd w:val="0"/>
        <w:snapToGrid w:val="0"/>
        <w:spacing w:before="160" w:after="80" w:line="560" w:lineRule="exact"/>
        <w:ind w:firstLine="640" w:firstLineChars="200"/>
        <w:rPr>
          <w:rFonts w:ascii="楷体_GB2312" w:hAnsi="楷体_GB2312" w:eastAsia="楷体_GB2312" w:cs="楷体_GB2312"/>
          <w:b/>
          <w:color w:val="2F5597" w:themeColor="accent1" w:themeShade="BF"/>
          <w:sz w:val="32"/>
          <w:szCs w:val="32"/>
        </w:rPr>
      </w:pPr>
      <w:r>
        <w:rPr>
          <w:rFonts w:hint="eastAsia" w:ascii="楷体_GB2312" w:hAnsi="楷体_GB2312" w:eastAsia="楷体_GB2312" w:cs="楷体_GB2312"/>
          <w:sz w:val="32"/>
          <w:szCs w:val="32"/>
        </w:rPr>
        <w:t>（一）智能量测终端</w:t>
      </w:r>
    </w:p>
    <w:p w14:paraId="02309C52">
      <w:pPr>
        <w:adjustRightInd w:val="0"/>
        <w:snapToGri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采用硬件模块化、功能软件化设计的智能化采集和控制终端设备，与RS485-以太网转换器设备接入，支持多采集对象、大容量存储、高性能计算，具备电能计量、数据采集、配变监测、用电管理等功能。</w:t>
      </w:r>
    </w:p>
    <w:p w14:paraId="06C9DD06">
      <w:pPr>
        <w:keepNext/>
        <w:keepLines/>
        <w:tabs>
          <w:tab w:val="left" w:pos="420"/>
        </w:tabs>
        <w:adjustRightInd w:val="0"/>
        <w:snapToGrid w:val="0"/>
        <w:spacing w:before="160" w:after="80" w:line="560" w:lineRule="exact"/>
        <w:ind w:firstLine="640" w:firstLineChars="200"/>
        <w:rPr>
          <w:rFonts w:ascii="楷体_GB2312" w:hAnsi="楷体_GB2312" w:eastAsia="楷体_GB2312" w:cs="楷体_GB2312"/>
          <w:b/>
          <w:color w:val="2F5597" w:themeColor="accent1" w:themeShade="BF"/>
          <w:sz w:val="32"/>
          <w:szCs w:val="32"/>
        </w:rPr>
      </w:pPr>
      <w:r>
        <w:rPr>
          <w:rFonts w:hint="eastAsia" w:ascii="楷体_GB2312" w:hAnsi="楷体_GB2312" w:eastAsia="楷体_GB2312" w:cs="楷体_GB2312"/>
          <w:sz w:val="32"/>
          <w:szCs w:val="32"/>
        </w:rPr>
        <w:t>（二）虚拟电厂平台</w:t>
      </w:r>
    </w:p>
    <w:p w14:paraId="11170F63">
      <w:pPr>
        <w:adjustRightInd w:val="0"/>
        <w:snapToGri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指</w:t>
      </w:r>
      <w:r>
        <w:rPr>
          <w:rFonts w:hint="eastAsia" w:ascii="Times New Roman" w:hAnsi="Times New Roman" w:eastAsia="仿宋_GB2312" w:cs="Times New Roman"/>
          <w:bCs/>
          <w:sz w:val="32"/>
          <w:szCs w:val="32"/>
        </w:rPr>
        <w:t>响应主体</w:t>
      </w:r>
      <w:r>
        <w:rPr>
          <w:rFonts w:hint="eastAsia" w:ascii="仿宋_GB2312" w:hAnsi="仿宋_GB2312" w:eastAsia="仿宋_GB2312" w:cs="仿宋_GB2312"/>
          <w:sz w:val="32"/>
          <w:szCs w:val="32"/>
        </w:rPr>
        <w:t>的技术支持系统，需具备信息处理、运行监控、业务管理、计量监管、控制执行等功能。</w:t>
      </w:r>
    </w:p>
    <w:p w14:paraId="67DE1158">
      <w:pPr>
        <w:keepNext/>
        <w:keepLines/>
        <w:numPr>
          <w:ilvl w:val="1"/>
          <w:numId w:val="0"/>
        </w:numPr>
        <w:tabs>
          <w:tab w:val="left" w:pos="0"/>
        </w:tabs>
        <w:snapToGrid w:val="0"/>
        <w:spacing w:before="160" w:after="80" w:line="560" w:lineRule="exact"/>
        <w:ind w:firstLine="640" w:firstLineChars="200"/>
        <w:rPr>
          <w:rFonts w:ascii="黑体" w:hAnsi="黑体" w:eastAsia="黑体" w:cs="黑体"/>
          <w:b/>
          <w:color w:val="2F5597" w:themeColor="accent1" w:themeShade="BF"/>
          <w:sz w:val="40"/>
          <w:szCs w:val="32"/>
        </w:rPr>
      </w:pPr>
      <w:r>
        <w:rPr>
          <w:rFonts w:hint="eastAsia" w:ascii="黑体" w:hAnsi="黑体" w:eastAsia="黑体" w:cs="黑体"/>
          <w:sz w:val="32"/>
          <w:szCs w:val="32"/>
        </w:rPr>
        <w:t>二、虚拟电厂平台接入路径</w:t>
      </w:r>
    </w:p>
    <w:p w14:paraId="602CA157">
      <w:pPr>
        <w:widowControl/>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在虚拟电厂运营商内网建设独立区域，部署智能量测终端；终端上行与计量自动化系统主站安全接入区连接，下行通过RS485接口与“RS485-以太网转换器”连接，转换器通过以太网接口与虚拟电厂管理平台连接。</w:t>
      </w:r>
    </w:p>
    <w:p w14:paraId="0D9D1B3A">
      <w:pPr>
        <w:widowControl/>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虚拟电厂管理平台主站与运营商的虚拟电厂管理平台通过智能量测终端进行通信，如下图所示：</w:t>
      </w:r>
    </w:p>
    <w:p w14:paraId="4029F12B">
      <w:pPr>
        <w:adjustRightInd w:val="0"/>
        <w:snapToGrid w:val="0"/>
        <w:rPr>
          <w:rFonts w:ascii="宋体" w:hAnsi="宋体" w:eastAsia="宋体" w:cs="宋体"/>
          <w:sz w:val="32"/>
          <w:szCs w:val="21"/>
        </w:rPr>
      </w:pPr>
      <w:r>
        <w:rPr>
          <w:rFonts w:ascii="Times New Roman" w:hAnsi="Times New Roman" w:eastAsia="仿宋_GB2312"/>
          <w:sz w:val="24"/>
          <w14:ligatures w14:val="standardContextual"/>
        </w:rPr>
        <w:drawing>
          <wp:inline distT="0" distB="0" distL="0" distR="0">
            <wp:extent cx="5274310" cy="3549015"/>
            <wp:effectExtent l="0" t="0" r="254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549015"/>
                    </a:xfrm>
                    <a:prstGeom prst="rect">
                      <a:avLst/>
                    </a:prstGeom>
                  </pic:spPr>
                </pic:pic>
              </a:graphicData>
            </a:graphic>
          </wp:inline>
        </w:drawing>
      </w:r>
      <w:r>
        <w:rPr>
          <w:rFonts w:ascii="Times New Roman" w:hAnsi="Times New Roman" w:eastAsia="仿宋_GB2312"/>
          <w:sz w:val="24"/>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1006475</wp:posOffset>
                </wp:positionV>
                <wp:extent cx="347980" cy="605790"/>
                <wp:effectExtent l="0" t="0" r="2540" b="3810"/>
                <wp:wrapNone/>
                <wp:docPr id="2" name="矩形 2"/>
                <wp:cNvGraphicFramePr/>
                <a:graphic xmlns:a="http://schemas.openxmlformats.org/drawingml/2006/main">
                  <a:graphicData uri="http://schemas.microsoft.com/office/word/2010/wordprocessingShape">
                    <wps:wsp>
                      <wps:cNvSpPr/>
                      <wps:spPr>
                        <a:xfrm>
                          <a:off x="0" y="0"/>
                          <a:ext cx="347980" cy="60579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6pt;margin-top:79.25pt;height:47.7pt;width:27.4pt;z-index:251659264;mso-width-relative:page;mso-height-relative:page;" fillcolor="#FFFFFF" filled="t" stroked="f" coordsize="21600,21600" o:gfxdata="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tnntgAAAAJAQAADwAAAAAAAAABACAAAAAiAAAAZHJzL2Rvd25yZXYueG1sUEsBAhQAFAAAAAgA&#10;h07iQEPOjwezAQAAXgMAAA4AAAAAAAAAAQAgAAAAJwEAAGRycy9lMm9Eb2MueG1sUEsFBgAAAAAG&#10;AAYAWQEAAEwFAAAAAA==&#10;">
                <v:fill on="t" focussize="0,0"/>
                <v:stroke on="f"/>
                <v:imagedata o:title=""/>
                <o:lock v:ext="edit" aspectratio="f"/>
              </v:rect>
            </w:pict>
          </mc:Fallback>
        </mc:AlternateContent>
      </w:r>
    </w:p>
    <w:p w14:paraId="20F76BAC">
      <w:pPr>
        <w:widowControl/>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图 虚拟电厂接入路径架构图示例</w:t>
      </w:r>
    </w:p>
    <w:p w14:paraId="18CB6816">
      <w:pPr>
        <w:widowControl/>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虚拟电厂管理平台主站和虚拟电厂管理平台双方约定好需要交互的数据项和数据内容后，由智能量测终端厂家对通信规约进行扩展，明确上行及下行的数据格式。虚拟电厂管理平台主站和运营商虚拟电厂管理平台需要将上送和下发的数据封装成终端能接收的数据格式，发送给智能量测终端后，由智能量测终端对数据进行转发。</w:t>
      </w:r>
    </w:p>
    <w:p w14:paraId="57CE19A0">
      <w:pPr>
        <w:spacing w:line="560" w:lineRule="exact"/>
        <w:rPr>
          <w:rFonts w:ascii="黑体" w:hAnsi="黑体" w:eastAsia="黑体" w:cs="黑体"/>
          <w:sz w:val="32"/>
          <w:szCs w:val="32"/>
        </w:rPr>
      </w:pPr>
    </w:p>
    <w:p w14:paraId="2B174862">
      <w:pPr>
        <w:widowControl/>
        <w:jc w:val="left"/>
        <w:rPr>
          <w:rFonts w:ascii="Times New Roman" w:hAnsi="Times New Roman" w:eastAsia="黑体" w:cs="Times New Roman"/>
          <w:b/>
          <w:sz w:val="32"/>
          <w:szCs w:val="32"/>
        </w:rPr>
      </w:pPr>
    </w:p>
    <w:p w14:paraId="64D38BC5">
      <w:pPr>
        <w:widowControl/>
        <w:jc w:val="left"/>
        <w:rPr>
          <w:rFonts w:ascii="黑体" w:hAnsi="黑体" w:eastAsia="黑体" w:cs="黑体"/>
          <w:sz w:val="32"/>
          <w:szCs w:val="32"/>
        </w:rPr>
      </w:pPr>
      <w:r>
        <w:rPr>
          <w:rFonts w:hint="eastAsia" w:ascii="黑体" w:hAnsi="黑体" w:eastAsia="黑体" w:cs="黑体"/>
          <w:sz w:val="32"/>
          <w:szCs w:val="32"/>
        </w:rPr>
        <w:br w:type="page"/>
      </w:r>
    </w:p>
    <w:p w14:paraId="2E1EFDAC">
      <w:pPr>
        <w:pStyle w:val="33"/>
        <w:tabs>
          <w:tab w:val="left" w:pos="6720"/>
        </w:tabs>
        <w:spacing w:line="560" w:lineRule="exact"/>
        <w:ind w:firstLine="0" w:firstLineChars="0"/>
        <w:outlineLvl w:val="1"/>
        <w:rPr>
          <w:rFonts w:hint="eastAsia" w:ascii="黑体" w:hAnsi="黑体" w:eastAsia="黑体" w:cs="黑体"/>
          <w:b w:val="0"/>
          <w:bCs/>
          <w:sz w:val="32"/>
          <w:szCs w:val="32"/>
        </w:rPr>
      </w:pPr>
      <w:r>
        <w:rPr>
          <w:rFonts w:hint="eastAsia" w:ascii="黑体" w:hAnsi="黑体" w:eastAsia="黑体" w:cs="黑体"/>
          <w:b w:val="0"/>
          <w:bCs/>
          <w:sz w:val="32"/>
          <w:szCs w:val="32"/>
        </w:rPr>
        <w:t>附表5</w:t>
      </w:r>
    </w:p>
    <w:p w14:paraId="7F158C08">
      <w:pPr>
        <w:pStyle w:val="16"/>
        <w:adjustRightInd w:val="0"/>
        <w:snapToGrid w:val="0"/>
        <w:spacing w:after="0" w:line="560" w:lineRule="exact"/>
        <w:ind w:firstLine="0" w:firstLineChars="0"/>
        <w:jc w:val="center"/>
        <w:rPr>
          <w:rFonts w:hint="eastAsia" w:ascii="方正小标宋_GBK" w:hAnsi="方正小标宋_GBK" w:eastAsia="方正小标宋_GBK" w:cs="方正小标宋_GBK"/>
          <w:snapToGrid w:val="0"/>
          <w:spacing w:val="-3"/>
          <w:kern w:val="0"/>
          <w:sz w:val="44"/>
          <w:szCs w:val="44"/>
        </w:rPr>
      </w:pPr>
    </w:p>
    <w:p w14:paraId="44BFC120">
      <w:pPr>
        <w:pStyle w:val="16"/>
        <w:adjustRightInd w:val="0"/>
        <w:snapToGrid w:val="0"/>
        <w:spacing w:after="0" w:line="560" w:lineRule="exact"/>
        <w:ind w:firstLine="0" w:firstLineChars="0"/>
        <w:jc w:val="center"/>
        <w:rPr>
          <w:rFonts w:ascii="方正小标宋_GBK" w:hAnsi="方正小标宋_GBK" w:eastAsia="方正小标宋_GBK" w:cs="方正小标宋_GBK"/>
          <w:snapToGrid w:val="0"/>
          <w:spacing w:val="-3"/>
          <w:kern w:val="0"/>
          <w:sz w:val="44"/>
          <w:szCs w:val="44"/>
        </w:rPr>
      </w:pPr>
      <w:r>
        <w:rPr>
          <w:rFonts w:hint="eastAsia" w:ascii="方正小标宋_GBK" w:hAnsi="方正小标宋_GBK" w:eastAsia="方正小标宋_GBK" w:cs="方正小标宋_GBK"/>
          <w:snapToGrid w:val="0"/>
          <w:spacing w:val="-3"/>
          <w:kern w:val="0"/>
          <w:sz w:val="44"/>
          <w:szCs w:val="44"/>
        </w:rPr>
        <w:t>系统联调测试记录表</w:t>
      </w:r>
    </w:p>
    <w:p w14:paraId="209AF3A3">
      <w:pPr>
        <w:adjustRightInd w:val="0"/>
        <w:snapToGrid w:val="0"/>
        <w:spacing w:after="280"/>
        <w:rPr>
          <w:rFonts w:hint="eastAsia" w:ascii="黑体" w:hAnsi="黑体" w:cs="黑体"/>
          <w:sz w:val="32"/>
          <w:szCs w:val="32"/>
        </w:rPr>
      </w:pPr>
    </w:p>
    <w:p w14:paraId="0EF9C5FA">
      <w:pPr>
        <w:adjustRightInd w:val="0"/>
        <w:snapToGrid w:val="0"/>
        <w:spacing w:after="280"/>
        <w:rPr>
          <w:rFonts w:ascii="黑体" w:hAnsi="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基本信息</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1"/>
        <w:gridCol w:w="5861"/>
      </w:tblGrid>
      <w:tr w14:paraId="346E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pct"/>
            <w:vAlign w:val="center"/>
          </w:tcPr>
          <w:p w14:paraId="2F19950D">
            <w:pP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虚拟电厂运营商名称</w:t>
            </w:r>
          </w:p>
        </w:tc>
        <w:tc>
          <w:tcPr>
            <w:tcW w:w="3438" w:type="pct"/>
          </w:tcPr>
          <w:p w14:paraId="22D757FB">
            <w:pPr>
              <w:rPr>
                <w:rFonts w:ascii="仿宋_GB2312" w:hAnsi="仿宋_GB2312" w:eastAsia="仿宋_GB2312" w:cs="仿宋_GB2312"/>
                <w:sz w:val="24"/>
                <w:szCs w:val="24"/>
              </w:rPr>
            </w:pPr>
          </w:p>
        </w:tc>
      </w:tr>
      <w:tr w14:paraId="0B97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pct"/>
            <w:vAlign w:val="center"/>
          </w:tcPr>
          <w:p w14:paraId="28F416ED">
            <w:pP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技术支持系统名称</w:t>
            </w:r>
          </w:p>
        </w:tc>
        <w:tc>
          <w:tcPr>
            <w:tcW w:w="3438" w:type="pct"/>
          </w:tcPr>
          <w:p w14:paraId="0CA44F7C">
            <w:pPr>
              <w:rPr>
                <w:rFonts w:ascii="仿宋_GB2312" w:hAnsi="仿宋_GB2312" w:eastAsia="仿宋_GB2312" w:cs="仿宋_GB2312"/>
                <w:sz w:val="24"/>
                <w:szCs w:val="24"/>
              </w:rPr>
            </w:pPr>
          </w:p>
        </w:tc>
      </w:tr>
      <w:tr w14:paraId="613E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pct"/>
            <w:vAlign w:val="center"/>
          </w:tcPr>
          <w:p w14:paraId="1EA8F7E0">
            <w:pP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运营商机房地址</w:t>
            </w:r>
          </w:p>
        </w:tc>
        <w:tc>
          <w:tcPr>
            <w:tcW w:w="3438" w:type="pct"/>
          </w:tcPr>
          <w:p w14:paraId="063FCDFE">
            <w:pPr>
              <w:rPr>
                <w:rFonts w:ascii="仿宋_GB2312" w:hAnsi="仿宋_GB2312" w:eastAsia="仿宋_GB2312" w:cs="仿宋_GB2312"/>
                <w:sz w:val="24"/>
                <w:szCs w:val="24"/>
              </w:rPr>
            </w:pPr>
          </w:p>
        </w:tc>
      </w:tr>
      <w:tr w14:paraId="4BC3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pct"/>
            <w:shd w:val="clear" w:color="auto" w:fill="auto"/>
            <w:vAlign w:val="center"/>
          </w:tcPr>
          <w:p w14:paraId="30535B16">
            <w:pP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智能量测终端编号</w:t>
            </w:r>
          </w:p>
        </w:tc>
        <w:tc>
          <w:tcPr>
            <w:tcW w:w="3438" w:type="pct"/>
          </w:tcPr>
          <w:p w14:paraId="57B18DBA">
            <w:pPr>
              <w:rPr>
                <w:rFonts w:ascii="仿宋_GB2312" w:hAnsi="仿宋_GB2312" w:eastAsia="仿宋_GB2312" w:cs="仿宋_GB2312"/>
                <w:sz w:val="24"/>
                <w:szCs w:val="24"/>
              </w:rPr>
            </w:pPr>
          </w:p>
        </w:tc>
      </w:tr>
      <w:tr w14:paraId="6FA5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pct"/>
            <w:vAlign w:val="center"/>
          </w:tcPr>
          <w:p w14:paraId="5A50576F">
            <w:pP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联调测试日期</w:t>
            </w:r>
          </w:p>
        </w:tc>
        <w:tc>
          <w:tcPr>
            <w:tcW w:w="3438" w:type="pct"/>
          </w:tcPr>
          <w:p w14:paraId="3F65B2B3">
            <w:pPr>
              <w:rPr>
                <w:rFonts w:ascii="仿宋_GB2312" w:hAnsi="仿宋_GB2312" w:eastAsia="仿宋_GB2312" w:cs="仿宋_GB2312"/>
                <w:sz w:val="24"/>
                <w:szCs w:val="24"/>
              </w:rPr>
            </w:pPr>
          </w:p>
        </w:tc>
      </w:tr>
      <w:tr w14:paraId="2883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pct"/>
            <w:shd w:val="clear" w:color="auto" w:fill="auto"/>
            <w:vAlign w:val="center"/>
          </w:tcPr>
          <w:p w14:paraId="42D5ACCB">
            <w:pP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负管中心测试负责人</w:t>
            </w:r>
          </w:p>
        </w:tc>
        <w:tc>
          <w:tcPr>
            <w:tcW w:w="3438" w:type="pct"/>
          </w:tcPr>
          <w:p w14:paraId="608335B4">
            <w:pPr>
              <w:rPr>
                <w:rFonts w:ascii="仿宋_GB2312" w:hAnsi="仿宋_GB2312" w:eastAsia="仿宋_GB2312" w:cs="仿宋_GB2312"/>
                <w:sz w:val="24"/>
                <w:szCs w:val="24"/>
              </w:rPr>
            </w:pPr>
          </w:p>
        </w:tc>
      </w:tr>
      <w:tr w14:paraId="3A53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pct"/>
            <w:vAlign w:val="center"/>
          </w:tcPr>
          <w:p w14:paraId="3E871D2D">
            <w:pP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参与测试人员</w:t>
            </w:r>
          </w:p>
        </w:tc>
        <w:tc>
          <w:tcPr>
            <w:tcW w:w="3438" w:type="pct"/>
          </w:tcPr>
          <w:p w14:paraId="7D744A0E">
            <w:pPr>
              <w:rPr>
                <w:rFonts w:ascii="仿宋_GB2312" w:hAnsi="仿宋_GB2312" w:eastAsia="仿宋_GB2312" w:cs="仿宋_GB2312"/>
                <w:sz w:val="24"/>
                <w:szCs w:val="24"/>
              </w:rPr>
            </w:pPr>
          </w:p>
        </w:tc>
      </w:tr>
    </w:tbl>
    <w:p w14:paraId="17AAD362">
      <w:pPr>
        <w:adjustRightInd w:val="0"/>
        <w:snapToGrid w:val="0"/>
        <w:spacing w:after="280"/>
        <w:rPr>
          <w:rFonts w:hint="eastAsia" w:ascii="黑体" w:hAnsi="黑体" w:eastAsia="黑体" w:cs="黑体"/>
          <w:sz w:val="32"/>
          <w:szCs w:val="32"/>
          <w:lang w:eastAsia="zh-CN"/>
        </w:rPr>
      </w:pPr>
      <w:r>
        <w:rPr>
          <w:rFonts w:hint="eastAsia" w:ascii="黑体" w:hAnsi="黑体" w:eastAsia="黑体" w:cs="黑体"/>
          <w:sz w:val="32"/>
          <w:szCs w:val="32"/>
          <w:lang w:eastAsia="zh-CN"/>
        </w:rPr>
        <w:t>二、</w:t>
      </w:r>
      <w:r>
        <w:rPr>
          <w:rFonts w:hint="eastAsia" w:ascii="黑体" w:hAnsi="黑体" w:eastAsia="黑体" w:cs="黑体"/>
          <w:sz w:val="32"/>
          <w:szCs w:val="32"/>
        </w:rPr>
        <w:t>测试结果记录</w:t>
      </w:r>
    </w:p>
    <w:tbl>
      <w:tblPr>
        <w:tblStyle w:val="20"/>
        <w:tblW w:w="4998" w:type="pct"/>
        <w:tblInd w:w="0" w:type="dxa"/>
        <w:tblLayout w:type="autofit"/>
        <w:tblCellMar>
          <w:top w:w="0" w:type="dxa"/>
          <w:left w:w="108" w:type="dxa"/>
          <w:bottom w:w="0" w:type="dxa"/>
          <w:right w:w="108" w:type="dxa"/>
        </w:tblCellMar>
      </w:tblPr>
      <w:tblGrid>
        <w:gridCol w:w="963"/>
        <w:gridCol w:w="1808"/>
        <w:gridCol w:w="1810"/>
        <w:gridCol w:w="1595"/>
        <w:gridCol w:w="1377"/>
        <w:gridCol w:w="966"/>
      </w:tblGrid>
      <w:tr w14:paraId="72D8108B">
        <w:tblPrEx>
          <w:tblCellMar>
            <w:top w:w="0" w:type="dxa"/>
            <w:left w:w="108" w:type="dxa"/>
            <w:bottom w:w="0" w:type="dxa"/>
            <w:right w:w="108" w:type="dxa"/>
          </w:tblCellMar>
        </w:tblPrEx>
        <w:trPr>
          <w:trHeight w:val="454"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8D715">
            <w:pPr>
              <w:widowControl/>
              <w:jc w:val="center"/>
              <w:textAlignment w:val="center"/>
              <w:rPr>
                <w:rFonts w:ascii="仿宋_GB2312" w:hAnsi="宋体" w:eastAsia="仿宋_GB2312" w:cs="宋体"/>
                <w:b/>
                <w:bCs/>
                <w:sz w:val="24"/>
                <w:szCs w:val="24"/>
              </w:rPr>
            </w:pPr>
            <w:r>
              <w:rPr>
                <w:rFonts w:hint="eastAsia" w:ascii="仿宋_GB2312" w:hAnsi="宋体" w:eastAsia="仿宋_GB2312" w:cs="宋体"/>
                <w:b/>
                <w:bCs/>
                <w:kern w:val="0"/>
                <w:sz w:val="24"/>
                <w:szCs w:val="24"/>
                <w:lang w:bidi="ar"/>
              </w:rPr>
              <w:t>序号</w:t>
            </w:r>
          </w:p>
        </w:tc>
        <w:tc>
          <w:tcPr>
            <w:tcW w:w="2123"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82283C6">
            <w:pPr>
              <w:widowControl/>
              <w:jc w:val="center"/>
              <w:textAlignment w:val="center"/>
              <w:rPr>
                <w:rFonts w:ascii="仿宋_GB2312" w:hAnsi="宋体" w:eastAsia="仿宋_GB2312" w:cs="宋体"/>
                <w:b/>
                <w:bCs/>
                <w:sz w:val="24"/>
                <w:szCs w:val="24"/>
              </w:rPr>
            </w:pPr>
            <w:r>
              <w:rPr>
                <w:rFonts w:hint="eastAsia" w:ascii="仿宋_GB2312" w:hAnsi="宋体" w:eastAsia="仿宋_GB2312" w:cs="宋体"/>
                <w:b/>
                <w:bCs/>
                <w:kern w:val="0"/>
                <w:sz w:val="24"/>
                <w:szCs w:val="24"/>
                <w:lang w:bidi="ar"/>
              </w:rPr>
              <w:t>测试字段项</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D2B84">
            <w:pPr>
              <w:widowControl/>
              <w:jc w:val="center"/>
              <w:textAlignment w:val="center"/>
              <w:rPr>
                <w:rFonts w:ascii="仿宋_GB2312" w:hAnsi="宋体" w:eastAsia="仿宋_GB2312" w:cs="宋体"/>
                <w:b/>
                <w:bCs/>
                <w:sz w:val="24"/>
                <w:szCs w:val="24"/>
              </w:rPr>
            </w:pPr>
            <w:r>
              <w:rPr>
                <w:rFonts w:hint="eastAsia" w:ascii="仿宋_GB2312" w:hAnsi="宋体" w:eastAsia="仿宋_GB2312" w:cs="宋体"/>
                <w:b/>
                <w:bCs/>
                <w:kern w:val="0"/>
                <w:sz w:val="24"/>
                <w:szCs w:val="24"/>
                <w:lang w:bidi="ar"/>
              </w:rPr>
              <w:t>运营商系统</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74976">
            <w:pPr>
              <w:widowControl/>
              <w:jc w:val="center"/>
              <w:textAlignment w:val="center"/>
              <w:rPr>
                <w:rFonts w:ascii="仿宋_GB2312" w:hAnsi="宋体" w:eastAsia="仿宋_GB2312" w:cs="宋体"/>
                <w:b/>
                <w:bCs/>
                <w:sz w:val="24"/>
                <w:szCs w:val="24"/>
              </w:rPr>
            </w:pPr>
            <w:r>
              <w:rPr>
                <w:rFonts w:hint="eastAsia" w:ascii="仿宋_GB2312" w:hAnsi="宋体" w:eastAsia="仿宋_GB2312" w:cs="宋体"/>
                <w:b/>
                <w:bCs/>
                <w:kern w:val="0"/>
                <w:sz w:val="24"/>
                <w:szCs w:val="24"/>
                <w:lang w:bidi="ar"/>
              </w:rPr>
              <w:t>虚拟电厂</w:t>
            </w:r>
            <w:r>
              <w:rPr>
                <w:rFonts w:ascii="仿宋_GB2312" w:hAnsi="宋体" w:eastAsia="仿宋_GB2312" w:cs="宋体"/>
                <w:b/>
                <w:bCs/>
                <w:kern w:val="0"/>
                <w:sz w:val="24"/>
                <w:szCs w:val="24"/>
                <w:lang w:bidi="ar"/>
              </w:rPr>
              <w:t>系统</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84DD1">
            <w:pPr>
              <w:widowControl/>
              <w:jc w:val="center"/>
              <w:textAlignment w:val="center"/>
              <w:rPr>
                <w:rFonts w:ascii="仿宋_GB2312" w:hAnsi="宋体" w:eastAsia="仿宋_GB2312" w:cs="宋体"/>
                <w:b/>
                <w:bCs/>
                <w:sz w:val="24"/>
                <w:szCs w:val="24"/>
              </w:rPr>
            </w:pPr>
            <w:r>
              <w:rPr>
                <w:rFonts w:hint="eastAsia" w:ascii="仿宋_GB2312" w:hAnsi="宋体" w:eastAsia="仿宋_GB2312" w:cs="宋体"/>
                <w:b/>
                <w:bCs/>
                <w:kern w:val="0"/>
                <w:sz w:val="24"/>
                <w:szCs w:val="24"/>
                <w:lang w:bidi="ar"/>
              </w:rPr>
              <w:t>是否</w:t>
            </w:r>
            <w:r>
              <w:rPr>
                <w:rFonts w:hint="eastAsia" w:ascii="仿宋_GB2312" w:hAnsi="宋体" w:eastAsia="仿宋_GB2312" w:cs="宋体"/>
                <w:b/>
                <w:bCs/>
                <w:kern w:val="0"/>
                <w:sz w:val="24"/>
                <w:szCs w:val="24"/>
                <w:lang w:bidi="ar"/>
              </w:rPr>
              <w:br w:type="textWrapping"/>
            </w:r>
            <w:r>
              <w:rPr>
                <w:rFonts w:hint="eastAsia" w:ascii="仿宋_GB2312" w:hAnsi="宋体" w:eastAsia="仿宋_GB2312" w:cs="宋体"/>
                <w:b/>
                <w:bCs/>
                <w:kern w:val="0"/>
                <w:sz w:val="24"/>
                <w:szCs w:val="24"/>
                <w:lang w:bidi="ar"/>
              </w:rPr>
              <w:t>通过</w:t>
            </w:r>
          </w:p>
        </w:tc>
      </w:tr>
      <w:tr w14:paraId="1E2A0218">
        <w:tblPrEx>
          <w:tblCellMar>
            <w:top w:w="0" w:type="dxa"/>
            <w:left w:w="108" w:type="dxa"/>
            <w:bottom w:w="0" w:type="dxa"/>
            <w:right w:w="108" w:type="dxa"/>
          </w:tblCellMar>
        </w:tblPrEx>
        <w:trPr>
          <w:trHeight w:val="454" w:hRule="atLeast"/>
        </w:trPr>
        <w:tc>
          <w:tcPr>
            <w:tcW w:w="565" w:type="pct"/>
            <w:tcBorders>
              <w:top w:val="single" w:color="000000" w:sz="4" w:space="0"/>
              <w:left w:val="single" w:color="000000" w:sz="4" w:space="0"/>
              <w:bottom w:val="single" w:color="000000" w:sz="4" w:space="0"/>
              <w:right w:val="single" w:color="auto" w:sz="4" w:space="0"/>
            </w:tcBorders>
            <w:shd w:val="clear" w:color="auto" w:fill="auto"/>
            <w:vAlign w:val="center"/>
          </w:tcPr>
          <w:p w14:paraId="569F2F63">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lang w:bidi="ar"/>
              </w:rPr>
              <w:t>1</w:t>
            </w:r>
          </w:p>
        </w:tc>
        <w:tc>
          <w:tcPr>
            <w:tcW w:w="1061" w:type="pct"/>
            <w:vMerge w:val="restart"/>
            <w:tcBorders>
              <w:top w:val="single" w:color="auto" w:sz="4" w:space="0"/>
              <w:left w:val="single" w:color="auto" w:sz="4" w:space="0"/>
              <w:right w:val="single" w:color="auto" w:sz="4" w:space="0"/>
            </w:tcBorders>
            <w:shd w:val="clear" w:color="auto" w:fill="auto"/>
            <w:vAlign w:val="center"/>
          </w:tcPr>
          <w:p w14:paraId="0E23A141">
            <w:pPr>
              <w:widowControl/>
              <w:jc w:val="center"/>
              <w:textAlignment w:val="center"/>
              <w:rPr>
                <w:rFonts w:ascii="仿宋_GB2312" w:hAnsi="宋体" w:eastAsia="仿宋_GB2312" w:cs="宋体"/>
                <w:sz w:val="24"/>
                <w:szCs w:val="24"/>
              </w:rPr>
            </w:pPr>
            <w:r>
              <w:rPr>
                <w:rFonts w:hint="eastAsia" w:ascii="仿宋_GB2312" w:hAnsi="宋体" w:eastAsia="仿宋_GB2312" w:cs="宋体"/>
                <w:sz w:val="24"/>
                <w:szCs w:val="24"/>
              </w:rPr>
              <w:t>运行类数据</w:t>
            </w:r>
          </w:p>
        </w:tc>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14:paraId="08368ADA">
            <w:pPr>
              <w:widowControl/>
              <w:jc w:val="center"/>
              <w:textAlignment w:val="center"/>
              <w:rPr>
                <w:rFonts w:ascii="仿宋_GB2312" w:hAnsi="宋体" w:eastAsia="仿宋_GB2312" w:cs="宋体"/>
                <w:sz w:val="24"/>
                <w:szCs w:val="24"/>
              </w:rPr>
            </w:pPr>
            <w:r>
              <w:rPr>
                <w:rFonts w:hint="eastAsia" w:ascii="仿宋_GB2312" w:hAnsi="宋体" w:eastAsia="仿宋_GB2312" w:cs="宋体"/>
                <w:sz w:val="24"/>
                <w:szCs w:val="24"/>
              </w:rPr>
              <w:t>字段1__</w:t>
            </w:r>
          </w:p>
        </w:tc>
        <w:tc>
          <w:tcPr>
            <w:tcW w:w="936" w:type="pct"/>
            <w:tcBorders>
              <w:top w:val="single" w:color="000000" w:sz="4" w:space="0"/>
              <w:left w:val="single" w:color="auto" w:sz="4" w:space="0"/>
              <w:bottom w:val="single" w:color="000000" w:sz="4" w:space="0"/>
              <w:right w:val="single" w:color="000000" w:sz="4" w:space="0"/>
            </w:tcBorders>
            <w:shd w:val="clear" w:color="auto" w:fill="auto"/>
            <w:vAlign w:val="center"/>
          </w:tcPr>
          <w:p w14:paraId="0CD11235">
            <w:pPr>
              <w:widowControl/>
              <w:jc w:val="center"/>
              <w:textAlignment w:val="center"/>
              <w:rPr>
                <w:rFonts w:ascii="仿宋_GB2312" w:hAnsi="Arial" w:eastAsia="仿宋_GB2312" w:cs="Arial"/>
                <w:sz w:val="24"/>
                <w:szCs w:val="24"/>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tcPr>
          <w:p w14:paraId="30B07EB4">
            <w:pPr>
              <w:jc w:val="left"/>
              <w:rPr>
                <w:rFonts w:ascii="仿宋_GB2312" w:hAnsi="Arial" w:eastAsia="仿宋_GB2312" w:cs="Arial"/>
                <w:sz w:val="24"/>
                <w:szCs w:val="24"/>
              </w:rPr>
            </w:pPr>
          </w:p>
        </w:tc>
        <w:tc>
          <w:tcPr>
            <w:tcW w:w="566" w:type="pct"/>
            <w:tcBorders>
              <w:top w:val="single" w:color="000000" w:sz="4" w:space="0"/>
              <w:left w:val="single" w:color="000000" w:sz="4" w:space="0"/>
              <w:bottom w:val="single" w:color="000000" w:sz="4" w:space="0"/>
              <w:right w:val="single" w:color="000000" w:sz="4" w:space="0"/>
            </w:tcBorders>
            <w:shd w:val="clear" w:color="auto" w:fill="auto"/>
          </w:tcPr>
          <w:p w14:paraId="5E2834D1">
            <w:pPr>
              <w:jc w:val="left"/>
              <w:rPr>
                <w:rFonts w:ascii="仿宋_GB2312" w:hAnsi="Arial" w:eastAsia="仿宋_GB2312" w:cs="Arial"/>
                <w:sz w:val="24"/>
                <w:szCs w:val="24"/>
              </w:rPr>
            </w:pPr>
          </w:p>
        </w:tc>
      </w:tr>
      <w:tr w14:paraId="16248A6C">
        <w:tblPrEx>
          <w:tblCellMar>
            <w:top w:w="0" w:type="dxa"/>
            <w:left w:w="108" w:type="dxa"/>
            <w:bottom w:w="0" w:type="dxa"/>
            <w:right w:w="108" w:type="dxa"/>
          </w:tblCellMar>
        </w:tblPrEx>
        <w:trPr>
          <w:trHeight w:val="454" w:hRule="atLeast"/>
        </w:trPr>
        <w:tc>
          <w:tcPr>
            <w:tcW w:w="565" w:type="pct"/>
            <w:tcBorders>
              <w:top w:val="single" w:color="000000" w:sz="4" w:space="0"/>
              <w:left w:val="single" w:color="000000" w:sz="4" w:space="0"/>
              <w:bottom w:val="single" w:color="000000" w:sz="4" w:space="0"/>
              <w:right w:val="single" w:color="auto" w:sz="4" w:space="0"/>
            </w:tcBorders>
            <w:shd w:val="clear" w:color="auto" w:fill="auto"/>
            <w:vAlign w:val="center"/>
          </w:tcPr>
          <w:p w14:paraId="6057CF7C">
            <w:pPr>
              <w:widowControl/>
              <w:jc w:val="center"/>
              <w:textAlignment w:val="center"/>
              <w:rPr>
                <w:rFonts w:ascii="仿宋_GB2312" w:hAnsi="宋体" w:eastAsia="仿宋_GB2312" w:cs="宋体"/>
                <w:kern w:val="0"/>
                <w:sz w:val="24"/>
                <w:szCs w:val="24"/>
                <w:lang w:bidi="ar"/>
              </w:rPr>
            </w:pPr>
            <w:r>
              <w:rPr>
                <w:rFonts w:hint="eastAsia" w:ascii="仿宋_GB2312" w:hAnsi="宋体" w:eastAsia="仿宋_GB2312" w:cs="宋体"/>
                <w:kern w:val="0"/>
                <w:sz w:val="24"/>
                <w:szCs w:val="24"/>
                <w:lang w:bidi="ar"/>
              </w:rPr>
              <w:t>2</w:t>
            </w:r>
          </w:p>
        </w:tc>
        <w:tc>
          <w:tcPr>
            <w:tcW w:w="1061" w:type="pct"/>
            <w:vMerge w:val="continue"/>
            <w:tcBorders>
              <w:left w:val="single" w:color="auto" w:sz="4" w:space="0"/>
              <w:bottom w:val="single" w:color="auto" w:sz="4" w:space="0"/>
              <w:right w:val="single" w:color="auto" w:sz="4" w:space="0"/>
            </w:tcBorders>
            <w:shd w:val="clear" w:color="auto" w:fill="auto"/>
            <w:vAlign w:val="center"/>
          </w:tcPr>
          <w:p w14:paraId="530F1B78">
            <w:pPr>
              <w:widowControl/>
              <w:jc w:val="center"/>
              <w:textAlignment w:val="center"/>
              <w:rPr>
                <w:rFonts w:ascii="仿宋_GB2312" w:hAnsi="宋体" w:eastAsia="仿宋_GB2312" w:cs="宋体"/>
                <w:sz w:val="24"/>
                <w:szCs w:val="24"/>
              </w:rPr>
            </w:pPr>
          </w:p>
        </w:tc>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14:paraId="4A06935A">
            <w:pPr>
              <w:widowControl/>
              <w:jc w:val="center"/>
              <w:textAlignment w:val="center"/>
              <w:rPr>
                <w:rFonts w:ascii="仿宋_GB2312" w:hAnsi="宋体" w:eastAsia="仿宋_GB2312" w:cs="宋体"/>
                <w:sz w:val="24"/>
                <w:szCs w:val="24"/>
              </w:rPr>
            </w:pPr>
            <w:r>
              <w:rPr>
                <w:rFonts w:hint="eastAsia" w:ascii="仿宋_GB2312" w:hAnsi="宋体" w:eastAsia="仿宋_GB2312" w:cs="宋体"/>
                <w:sz w:val="24"/>
                <w:szCs w:val="24"/>
              </w:rPr>
              <w:t>字段2__</w:t>
            </w:r>
          </w:p>
        </w:tc>
        <w:tc>
          <w:tcPr>
            <w:tcW w:w="936" w:type="pct"/>
            <w:tcBorders>
              <w:top w:val="single" w:color="000000" w:sz="4" w:space="0"/>
              <w:left w:val="single" w:color="auto" w:sz="4" w:space="0"/>
              <w:bottom w:val="single" w:color="000000" w:sz="4" w:space="0"/>
              <w:right w:val="single" w:color="000000" w:sz="4" w:space="0"/>
            </w:tcBorders>
            <w:shd w:val="clear" w:color="auto" w:fill="auto"/>
            <w:vAlign w:val="center"/>
          </w:tcPr>
          <w:p w14:paraId="23D9D9B5">
            <w:pPr>
              <w:widowControl/>
              <w:jc w:val="center"/>
              <w:textAlignment w:val="center"/>
              <w:rPr>
                <w:rFonts w:ascii="仿宋_GB2312" w:hAnsi="宋体" w:eastAsia="仿宋_GB2312" w:cs="宋体"/>
                <w:sz w:val="24"/>
                <w:szCs w:val="24"/>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tcPr>
          <w:p w14:paraId="6703C345">
            <w:pPr>
              <w:jc w:val="left"/>
              <w:rPr>
                <w:rFonts w:ascii="仿宋_GB2312" w:hAnsi="Arial" w:eastAsia="仿宋_GB2312" w:cs="Arial"/>
                <w:sz w:val="24"/>
                <w:szCs w:val="24"/>
              </w:rPr>
            </w:pPr>
          </w:p>
        </w:tc>
        <w:tc>
          <w:tcPr>
            <w:tcW w:w="566" w:type="pct"/>
            <w:tcBorders>
              <w:top w:val="single" w:color="000000" w:sz="4" w:space="0"/>
              <w:left w:val="single" w:color="000000" w:sz="4" w:space="0"/>
              <w:bottom w:val="single" w:color="000000" w:sz="4" w:space="0"/>
              <w:right w:val="single" w:color="000000" w:sz="4" w:space="0"/>
            </w:tcBorders>
            <w:shd w:val="clear" w:color="auto" w:fill="auto"/>
          </w:tcPr>
          <w:p w14:paraId="0D2D34F7">
            <w:pPr>
              <w:jc w:val="left"/>
              <w:rPr>
                <w:rFonts w:ascii="仿宋_GB2312" w:hAnsi="Arial" w:eastAsia="仿宋_GB2312" w:cs="Arial"/>
                <w:sz w:val="24"/>
                <w:szCs w:val="24"/>
              </w:rPr>
            </w:pPr>
          </w:p>
        </w:tc>
      </w:tr>
    </w:tbl>
    <w:p w14:paraId="32038FA6">
      <w:pPr>
        <w:spacing w:after="120" w:line="360" w:lineRule="auto"/>
        <w:rPr>
          <w:rFonts w:ascii="黑体" w:hAnsi="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问题及改进建议</w:t>
      </w:r>
    </w:p>
    <w:tbl>
      <w:tblPr>
        <w:tblStyle w:val="20"/>
        <w:tblW w:w="46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1382"/>
        <w:gridCol w:w="1449"/>
        <w:gridCol w:w="1363"/>
        <w:gridCol w:w="1625"/>
      </w:tblGrid>
      <w:tr w14:paraId="429A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2" w:type="pct"/>
          </w:tcPr>
          <w:p w14:paraId="3511DB77">
            <w:pPr>
              <w:jc w:val="center"/>
              <w:rPr>
                <w:rFonts w:ascii="仿宋_GB2312" w:eastAsia="仿宋_GB2312" w:hAnsiTheme="minorEastAsia" w:cstheme="minorEastAsia"/>
                <w:b/>
                <w:bCs/>
                <w:sz w:val="24"/>
                <w:szCs w:val="24"/>
              </w:rPr>
            </w:pPr>
            <w:r>
              <w:rPr>
                <w:rFonts w:hint="eastAsia" w:ascii="仿宋_GB2312" w:eastAsia="仿宋_GB2312" w:hAnsiTheme="minorEastAsia" w:cstheme="minorEastAsia"/>
                <w:b/>
                <w:bCs/>
                <w:sz w:val="24"/>
                <w:szCs w:val="24"/>
              </w:rPr>
              <w:t>问题描述</w:t>
            </w:r>
          </w:p>
        </w:tc>
        <w:tc>
          <w:tcPr>
            <w:tcW w:w="864" w:type="pct"/>
          </w:tcPr>
          <w:p w14:paraId="4701FC94">
            <w:pPr>
              <w:jc w:val="center"/>
              <w:rPr>
                <w:rFonts w:ascii="仿宋_GB2312" w:eastAsia="仿宋_GB2312" w:hAnsiTheme="minorEastAsia" w:cstheme="minorEastAsia"/>
                <w:b/>
                <w:bCs/>
                <w:sz w:val="24"/>
                <w:szCs w:val="24"/>
              </w:rPr>
            </w:pPr>
            <w:r>
              <w:rPr>
                <w:rFonts w:hint="eastAsia" w:ascii="仿宋_GB2312" w:eastAsia="仿宋_GB2312" w:hAnsiTheme="minorEastAsia" w:cstheme="minorEastAsia"/>
                <w:b/>
                <w:bCs/>
                <w:sz w:val="24"/>
                <w:szCs w:val="24"/>
              </w:rPr>
              <w:t>解决措施</w:t>
            </w:r>
          </w:p>
        </w:tc>
        <w:tc>
          <w:tcPr>
            <w:tcW w:w="906" w:type="pct"/>
          </w:tcPr>
          <w:p w14:paraId="08A999BE">
            <w:pPr>
              <w:jc w:val="center"/>
              <w:rPr>
                <w:rFonts w:ascii="仿宋_GB2312" w:eastAsia="仿宋_GB2312" w:hAnsiTheme="minorEastAsia" w:cstheme="minorEastAsia"/>
                <w:b/>
                <w:bCs/>
                <w:sz w:val="24"/>
                <w:szCs w:val="24"/>
              </w:rPr>
            </w:pPr>
            <w:r>
              <w:rPr>
                <w:rFonts w:hint="eastAsia" w:ascii="仿宋_GB2312" w:eastAsia="仿宋_GB2312" w:hAnsiTheme="minorEastAsia" w:cstheme="minorEastAsia"/>
                <w:b/>
                <w:bCs/>
                <w:sz w:val="24"/>
                <w:szCs w:val="24"/>
              </w:rPr>
              <w:t>完成时间</w:t>
            </w:r>
          </w:p>
        </w:tc>
        <w:tc>
          <w:tcPr>
            <w:tcW w:w="852" w:type="pct"/>
          </w:tcPr>
          <w:p w14:paraId="6F5272A0">
            <w:pPr>
              <w:jc w:val="center"/>
              <w:rPr>
                <w:rFonts w:ascii="仿宋_GB2312" w:eastAsia="仿宋_GB2312" w:hAnsiTheme="minorEastAsia" w:cstheme="minorEastAsia"/>
                <w:b/>
                <w:bCs/>
                <w:sz w:val="24"/>
                <w:szCs w:val="24"/>
              </w:rPr>
            </w:pPr>
            <w:r>
              <w:rPr>
                <w:rFonts w:hint="eastAsia" w:ascii="仿宋_GB2312" w:eastAsia="仿宋_GB2312" w:hAnsiTheme="minorEastAsia" w:cstheme="minorEastAsia"/>
                <w:b/>
                <w:bCs/>
                <w:sz w:val="24"/>
                <w:szCs w:val="24"/>
              </w:rPr>
              <w:t>运营商技术负责人</w:t>
            </w:r>
          </w:p>
        </w:tc>
        <w:tc>
          <w:tcPr>
            <w:tcW w:w="1016" w:type="pct"/>
          </w:tcPr>
          <w:p w14:paraId="5D12701F">
            <w:pPr>
              <w:jc w:val="center"/>
              <w:rPr>
                <w:rFonts w:ascii="仿宋_GB2312" w:eastAsia="仿宋_GB2312" w:hAnsiTheme="minorEastAsia" w:cstheme="minorEastAsia"/>
                <w:b/>
                <w:bCs/>
                <w:sz w:val="24"/>
                <w:szCs w:val="24"/>
              </w:rPr>
            </w:pPr>
            <w:r>
              <w:rPr>
                <w:rFonts w:ascii="仿宋_GB2312" w:eastAsia="仿宋_GB2312" w:hAnsiTheme="minorEastAsia" w:cstheme="minorEastAsia"/>
                <w:b/>
                <w:bCs/>
                <w:sz w:val="24"/>
                <w:szCs w:val="24"/>
              </w:rPr>
              <w:t>负管中心</w:t>
            </w:r>
            <w:r>
              <w:rPr>
                <w:rFonts w:hint="eastAsia" w:ascii="仿宋_GB2312" w:eastAsia="仿宋_GB2312" w:hAnsiTheme="minorEastAsia" w:cstheme="minorEastAsia"/>
                <w:b/>
                <w:bCs/>
                <w:sz w:val="24"/>
                <w:szCs w:val="24"/>
              </w:rPr>
              <w:t>测试负责人</w:t>
            </w:r>
          </w:p>
        </w:tc>
      </w:tr>
      <w:tr w14:paraId="4D24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2" w:type="pct"/>
            <w:vAlign w:val="center"/>
          </w:tcPr>
          <w:p w14:paraId="40B9CD45">
            <w:pPr>
              <w:rPr>
                <w:rFonts w:ascii="仿宋_GB2312" w:hAnsi="仿宋_GB2312" w:eastAsia="仿宋_GB2312" w:cs="仿宋_GB2312"/>
                <w:sz w:val="24"/>
                <w:szCs w:val="24"/>
              </w:rPr>
            </w:pPr>
          </w:p>
        </w:tc>
        <w:tc>
          <w:tcPr>
            <w:tcW w:w="864" w:type="pct"/>
            <w:vAlign w:val="center"/>
          </w:tcPr>
          <w:p w14:paraId="5E75097A">
            <w:pPr>
              <w:rPr>
                <w:rFonts w:ascii="仿宋_GB2312" w:hAnsi="仿宋_GB2312" w:eastAsia="仿宋_GB2312" w:cs="仿宋_GB2312"/>
                <w:sz w:val="24"/>
                <w:szCs w:val="24"/>
              </w:rPr>
            </w:pPr>
          </w:p>
        </w:tc>
        <w:tc>
          <w:tcPr>
            <w:tcW w:w="906" w:type="pct"/>
            <w:vAlign w:val="center"/>
          </w:tcPr>
          <w:p w14:paraId="6ADAAB8A">
            <w:pPr>
              <w:rPr>
                <w:rFonts w:ascii="仿宋_GB2312" w:hAnsi="仿宋_GB2312" w:eastAsia="仿宋_GB2312" w:cs="仿宋_GB2312"/>
                <w:sz w:val="24"/>
                <w:szCs w:val="24"/>
              </w:rPr>
            </w:pPr>
          </w:p>
        </w:tc>
        <w:tc>
          <w:tcPr>
            <w:tcW w:w="852" w:type="pct"/>
            <w:vAlign w:val="center"/>
          </w:tcPr>
          <w:p w14:paraId="57F64C51">
            <w:pPr>
              <w:rPr>
                <w:rFonts w:ascii="仿宋_GB2312" w:hAnsi="仿宋_GB2312" w:eastAsia="仿宋_GB2312" w:cs="仿宋_GB2312"/>
                <w:sz w:val="24"/>
                <w:szCs w:val="24"/>
              </w:rPr>
            </w:pPr>
          </w:p>
        </w:tc>
        <w:tc>
          <w:tcPr>
            <w:tcW w:w="1016" w:type="pct"/>
            <w:vAlign w:val="center"/>
          </w:tcPr>
          <w:p w14:paraId="0CAFBD4C">
            <w:pPr>
              <w:rPr>
                <w:rFonts w:ascii="仿宋_GB2312" w:hAnsi="仿宋_GB2312" w:eastAsia="仿宋_GB2312" w:cs="仿宋_GB2312"/>
                <w:sz w:val="24"/>
                <w:szCs w:val="24"/>
              </w:rPr>
            </w:pPr>
          </w:p>
        </w:tc>
      </w:tr>
      <w:tr w14:paraId="3276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2" w:type="pct"/>
            <w:vAlign w:val="center"/>
          </w:tcPr>
          <w:p w14:paraId="7A3BC50F">
            <w:pPr>
              <w:rPr>
                <w:rFonts w:ascii="仿宋_GB2312" w:hAnsi="仿宋_GB2312" w:eastAsia="仿宋_GB2312" w:cs="仿宋_GB2312"/>
                <w:sz w:val="24"/>
                <w:szCs w:val="24"/>
              </w:rPr>
            </w:pPr>
          </w:p>
        </w:tc>
        <w:tc>
          <w:tcPr>
            <w:tcW w:w="864" w:type="pct"/>
            <w:vAlign w:val="center"/>
          </w:tcPr>
          <w:p w14:paraId="1CE00CBA">
            <w:pPr>
              <w:rPr>
                <w:rFonts w:ascii="仿宋_GB2312" w:hAnsi="仿宋_GB2312" w:eastAsia="仿宋_GB2312" w:cs="仿宋_GB2312"/>
                <w:sz w:val="24"/>
                <w:szCs w:val="24"/>
              </w:rPr>
            </w:pPr>
          </w:p>
        </w:tc>
        <w:tc>
          <w:tcPr>
            <w:tcW w:w="906" w:type="pct"/>
            <w:vAlign w:val="center"/>
          </w:tcPr>
          <w:p w14:paraId="1BAF5F63">
            <w:pPr>
              <w:rPr>
                <w:rFonts w:ascii="仿宋_GB2312" w:hAnsi="仿宋_GB2312" w:eastAsia="仿宋_GB2312" w:cs="仿宋_GB2312"/>
                <w:sz w:val="24"/>
                <w:szCs w:val="24"/>
              </w:rPr>
            </w:pPr>
          </w:p>
        </w:tc>
        <w:tc>
          <w:tcPr>
            <w:tcW w:w="852" w:type="pct"/>
            <w:vAlign w:val="center"/>
          </w:tcPr>
          <w:p w14:paraId="29515355">
            <w:pPr>
              <w:rPr>
                <w:rFonts w:ascii="仿宋_GB2312" w:hAnsi="仿宋_GB2312" w:eastAsia="仿宋_GB2312" w:cs="仿宋_GB2312"/>
                <w:sz w:val="24"/>
                <w:szCs w:val="24"/>
              </w:rPr>
            </w:pPr>
          </w:p>
        </w:tc>
        <w:tc>
          <w:tcPr>
            <w:tcW w:w="1016" w:type="pct"/>
            <w:vAlign w:val="center"/>
          </w:tcPr>
          <w:p w14:paraId="125AE2B4">
            <w:pPr>
              <w:rPr>
                <w:rFonts w:ascii="仿宋_GB2312" w:hAnsi="仿宋_GB2312" w:eastAsia="仿宋_GB2312" w:cs="仿宋_GB2312"/>
                <w:sz w:val="24"/>
                <w:szCs w:val="24"/>
              </w:rPr>
            </w:pPr>
          </w:p>
        </w:tc>
      </w:tr>
    </w:tbl>
    <w:p w14:paraId="2670C239">
      <w:pPr>
        <w:adjustRightInd w:val="0"/>
        <w:snapToGrid w:val="0"/>
        <w:spacing w:after="280"/>
        <w:rPr>
          <w:rFonts w:ascii="黑体" w:hAnsi="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验收结论</w:t>
      </w:r>
    </w:p>
    <w:p w14:paraId="40F137C2">
      <w:pPr>
        <w:rPr>
          <w:rFonts w:ascii="仿宋_GB2312" w:eastAsia="仿宋_GB2312"/>
          <w:sz w:val="32"/>
          <w:szCs w:val="32"/>
        </w:rPr>
      </w:pPr>
      <w:r>
        <w:rPr>
          <w:rFonts w:hint="eastAsia" w:ascii="仿宋_GB2312" w:eastAsia="仿宋_GB2312"/>
          <w:sz w:val="32"/>
          <w:szCs w:val="32"/>
        </w:rPr>
        <w:t>1. 本次联调测试的结果为：</w:t>
      </w:r>
    </w:p>
    <w:p w14:paraId="688CEA99">
      <w:pPr>
        <w:rPr>
          <w:rFonts w:ascii="仿宋_GB2312" w:eastAsia="仿宋_GB2312"/>
          <w:sz w:val="32"/>
          <w:szCs w:val="32"/>
        </w:rPr>
      </w:pPr>
      <w:r>
        <w:rPr>
          <w:rFonts w:hint="eastAsia" w:ascii="仿宋_GB2312" w:eastAsia="仿宋_GB2312"/>
          <w:sz w:val="32"/>
          <w:szCs w:val="32"/>
        </w:rPr>
        <w:t>[ ] 全部通过</w:t>
      </w:r>
    </w:p>
    <w:p w14:paraId="14C5502E">
      <w:pPr>
        <w:rPr>
          <w:rFonts w:ascii="仿宋_GB2312" w:eastAsia="仿宋_GB2312"/>
          <w:sz w:val="32"/>
          <w:szCs w:val="32"/>
        </w:rPr>
      </w:pPr>
      <w:r>
        <w:rPr>
          <w:rFonts w:hint="eastAsia" w:ascii="仿宋_GB2312" w:eastAsia="仿宋_GB2312"/>
          <w:sz w:val="32"/>
          <w:szCs w:val="32"/>
        </w:rPr>
        <w:t>[ ] 部分通过（需整改）</w:t>
      </w:r>
    </w:p>
    <w:p w14:paraId="291F481C">
      <w:pPr>
        <w:rPr>
          <w:rFonts w:ascii="仿宋_GB2312" w:eastAsia="仿宋_GB2312"/>
          <w:sz w:val="32"/>
          <w:szCs w:val="32"/>
        </w:rPr>
      </w:pPr>
      <w:r>
        <w:rPr>
          <w:rFonts w:hint="eastAsia" w:ascii="仿宋_GB2312" w:eastAsia="仿宋_GB2312"/>
          <w:sz w:val="32"/>
          <w:szCs w:val="32"/>
        </w:rPr>
        <w:t>[ ] 未通过</w:t>
      </w:r>
    </w:p>
    <w:p w14:paraId="2127F398">
      <w:pPr>
        <w:rPr>
          <w:rFonts w:ascii="仿宋_GB2312" w:eastAsia="仿宋_GB2312"/>
          <w:sz w:val="32"/>
          <w:szCs w:val="32"/>
        </w:rPr>
      </w:pPr>
    </w:p>
    <w:p w14:paraId="4B77D5B0">
      <w:pPr>
        <w:rPr>
          <w:rFonts w:ascii="仿宋_GB2312" w:eastAsia="仿宋_GB2312"/>
          <w:sz w:val="32"/>
          <w:szCs w:val="32"/>
        </w:rPr>
      </w:pPr>
      <w:r>
        <w:rPr>
          <w:rFonts w:hint="eastAsia" w:ascii="仿宋_GB2312" w:eastAsia="仿宋_GB2312"/>
          <w:sz w:val="32"/>
          <w:szCs w:val="32"/>
        </w:rPr>
        <w:t>2. 需要整改内容和后续安排：</w:t>
      </w:r>
    </w:p>
    <w:p w14:paraId="3AF45EF8">
      <w:pPr>
        <w:rPr>
          <w:rFonts w:ascii="仿宋_GB2312" w:eastAsia="仿宋_GB2312"/>
          <w:sz w:val="32"/>
          <w:szCs w:val="32"/>
          <w:u w:val="single"/>
        </w:rPr>
      </w:pPr>
      <w:r>
        <w:rPr>
          <w:rFonts w:hint="eastAsia" w:ascii="仿宋_GB2312" w:eastAsia="仿宋_GB2312"/>
          <w:sz w:val="32"/>
          <w:szCs w:val="32"/>
        </w:rPr>
        <w:t>整  改 内 容：</w:t>
      </w:r>
      <w:r>
        <w:rPr>
          <w:rFonts w:hint="eastAsia" w:ascii="仿宋_GB2312" w:eastAsia="仿宋_GB2312"/>
          <w:sz w:val="32"/>
          <w:szCs w:val="32"/>
          <w:u w:val="single"/>
        </w:rPr>
        <w:t xml:space="preserve">                                              </w:t>
      </w:r>
    </w:p>
    <w:p w14:paraId="15106DA4">
      <w:pPr>
        <w:rPr>
          <w:rFonts w:ascii="仿宋_GB2312" w:eastAsia="仿宋_GB2312"/>
          <w:sz w:val="32"/>
          <w:szCs w:val="32"/>
          <w:u w:val="single"/>
        </w:rPr>
      </w:pPr>
      <w:r>
        <w:rPr>
          <w:rFonts w:hint="eastAsia" w:ascii="仿宋_GB2312" w:eastAsia="仿宋_GB2312"/>
          <w:sz w:val="32"/>
          <w:szCs w:val="32"/>
        </w:rPr>
        <w:t>整改完成日期：</w:t>
      </w:r>
      <w:r>
        <w:rPr>
          <w:rFonts w:hint="eastAsia" w:ascii="仿宋_GB2312" w:eastAsia="仿宋_GB2312"/>
          <w:sz w:val="32"/>
          <w:szCs w:val="32"/>
          <w:u w:val="single"/>
        </w:rPr>
        <w:t xml:space="preserve">                                       </w:t>
      </w:r>
    </w:p>
    <w:p w14:paraId="37963847">
      <w:pPr>
        <w:rPr>
          <w:rFonts w:ascii="仿宋_GB2312" w:eastAsia="仿宋_GB2312"/>
          <w:sz w:val="32"/>
          <w:szCs w:val="32"/>
        </w:rPr>
      </w:pPr>
    </w:p>
    <w:p w14:paraId="68338C76">
      <w:pPr>
        <w:rPr>
          <w:rFonts w:ascii="仿宋_GB2312" w:eastAsia="仿宋_GB2312"/>
          <w:sz w:val="32"/>
          <w:szCs w:val="32"/>
        </w:rPr>
      </w:pPr>
      <w:r>
        <w:rPr>
          <w:rFonts w:hint="eastAsia" w:ascii="仿宋_GB2312" w:eastAsia="仿宋_GB2312"/>
          <w:sz w:val="32"/>
          <w:szCs w:val="32"/>
        </w:rPr>
        <w:t>3. 本系统符合/不符合系统接入要求。</w:t>
      </w:r>
    </w:p>
    <w:p w14:paraId="49FDBB4B">
      <w:pPr>
        <w:adjustRightInd w:val="0"/>
        <w:snapToGrid w:val="0"/>
        <w:spacing w:after="280"/>
        <w:rPr>
          <w:rFonts w:hint="eastAsia" w:ascii="黑体" w:hAnsi="黑体" w:eastAsia="黑体" w:cs="黑体"/>
          <w:sz w:val="32"/>
          <w:szCs w:val="32"/>
          <w:lang w:val="en-US" w:eastAsia="zh-CN"/>
        </w:rPr>
      </w:pPr>
      <w:r>
        <w:rPr>
          <w:rFonts w:hint="eastAsia" w:ascii="黑体" w:hAnsi="黑体" w:eastAsia="黑体" w:cs="黑体"/>
          <w:sz w:val="32"/>
          <w:szCs w:val="32"/>
          <w:lang w:eastAsia="zh-CN"/>
        </w:rPr>
        <w:t>五、</w:t>
      </w:r>
      <w:r>
        <w:rPr>
          <w:rFonts w:hint="eastAsia" w:ascii="黑体" w:hAnsi="黑体" w:eastAsia="黑体" w:cs="黑体"/>
          <w:sz w:val="32"/>
          <w:szCs w:val="32"/>
        </w:rPr>
        <w:t>联调确认</w:t>
      </w:r>
    </w:p>
    <w:tbl>
      <w:tblPr>
        <w:tblStyle w:val="20"/>
        <w:tblW w:w="0" w:type="auto"/>
        <w:jc w:val="center"/>
        <w:tblLayout w:type="autofit"/>
        <w:tblCellMar>
          <w:top w:w="0" w:type="dxa"/>
          <w:left w:w="108" w:type="dxa"/>
          <w:bottom w:w="0" w:type="dxa"/>
          <w:right w:w="108" w:type="dxa"/>
        </w:tblCellMar>
      </w:tblPr>
      <w:tblGrid>
        <w:gridCol w:w="2024"/>
        <w:gridCol w:w="2024"/>
        <w:gridCol w:w="2024"/>
        <w:gridCol w:w="2026"/>
      </w:tblGrid>
      <w:tr w14:paraId="6B5EECE3">
        <w:tblPrEx>
          <w:tblCellMar>
            <w:top w:w="0" w:type="dxa"/>
            <w:left w:w="108" w:type="dxa"/>
            <w:bottom w:w="0" w:type="dxa"/>
            <w:right w:w="108" w:type="dxa"/>
          </w:tblCellMar>
        </w:tblPrEx>
        <w:trPr>
          <w:trHeight w:val="654" w:hRule="atLeast"/>
          <w:jc w:val="center"/>
        </w:trPr>
        <w:tc>
          <w:tcPr>
            <w:tcW w:w="2024" w:type="dxa"/>
            <w:vAlign w:val="bottom"/>
          </w:tcPr>
          <w:p w14:paraId="042531EB">
            <w:pP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测试单位</w:t>
            </w:r>
          </w:p>
        </w:tc>
        <w:tc>
          <w:tcPr>
            <w:tcW w:w="2024" w:type="dxa"/>
            <w:vAlign w:val="bottom"/>
          </w:tcPr>
          <w:p w14:paraId="4399D6CF">
            <w:pPr>
              <w:rPr>
                <w:rFonts w:ascii="仿宋_GB2312" w:hAnsi="仿宋_GB2312" w:eastAsia="仿宋_GB2312" w:cs="仿宋_GB2312"/>
                <w:sz w:val="24"/>
                <w:szCs w:val="24"/>
              </w:rPr>
            </w:pPr>
            <w:r>
              <w:rPr>
                <w:rFonts w:hint="eastAsia" w:ascii="仿宋_GB2312" w:hAnsi="仿宋_GB2312" w:eastAsia="仿宋_GB2312" w:cs="仿宋_GB2312"/>
                <w:sz w:val="24"/>
                <w:szCs w:val="24"/>
              </w:rPr>
              <w:t>签字：</w:t>
            </w:r>
          </w:p>
        </w:tc>
        <w:tc>
          <w:tcPr>
            <w:tcW w:w="2024" w:type="dxa"/>
            <w:vAlign w:val="bottom"/>
          </w:tcPr>
          <w:p w14:paraId="4FAD1493">
            <w:pPr>
              <w:rPr>
                <w:rFonts w:ascii="仿宋_GB2312" w:hAnsi="仿宋_GB2312" w:eastAsia="仿宋_GB2312" w:cs="仿宋_GB2312"/>
                <w:sz w:val="24"/>
                <w:szCs w:val="24"/>
              </w:rPr>
            </w:pPr>
            <w:r>
              <w:rPr>
                <w:rFonts w:hint="eastAsia" w:ascii="仿宋_GB2312" w:eastAsia="仿宋_GB2312" w:hAnsiTheme="minorEastAsia" w:cstheme="minorEastAsia"/>
                <w:sz w:val="24"/>
                <w:szCs w:val="24"/>
              </w:rPr>
              <w:t>验收单位</w:t>
            </w:r>
          </w:p>
        </w:tc>
        <w:tc>
          <w:tcPr>
            <w:tcW w:w="2026" w:type="dxa"/>
            <w:vAlign w:val="bottom"/>
          </w:tcPr>
          <w:p w14:paraId="60EAE09E">
            <w:pPr>
              <w:rPr>
                <w:rFonts w:ascii="仿宋_GB2312" w:hAnsi="仿宋_GB2312" w:eastAsia="仿宋_GB2312" w:cs="仿宋_GB2312"/>
                <w:sz w:val="24"/>
                <w:szCs w:val="24"/>
              </w:rPr>
            </w:pPr>
            <w:r>
              <w:rPr>
                <w:rFonts w:hint="eastAsia" w:ascii="仿宋_GB2312" w:hAnsi="仿宋_GB2312" w:eastAsia="仿宋_GB2312" w:cs="仿宋_GB2312"/>
                <w:sz w:val="24"/>
                <w:szCs w:val="24"/>
              </w:rPr>
              <w:t>签字：</w:t>
            </w:r>
          </w:p>
        </w:tc>
      </w:tr>
      <w:tr w14:paraId="1E08AB02">
        <w:tblPrEx>
          <w:tblCellMar>
            <w:top w:w="0" w:type="dxa"/>
            <w:left w:w="108" w:type="dxa"/>
            <w:bottom w:w="0" w:type="dxa"/>
            <w:right w:w="108" w:type="dxa"/>
          </w:tblCellMar>
        </w:tblPrEx>
        <w:trPr>
          <w:trHeight w:val="780" w:hRule="atLeast"/>
          <w:jc w:val="center"/>
        </w:trPr>
        <w:tc>
          <w:tcPr>
            <w:tcW w:w="2024" w:type="dxa"/>
            <w:vAlign w:val="bottom"/>
          </w:tcPr>
          <w:p w14:paraId="1A6241E8">
            <w:pP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确认日期</w:t>
            </w:r>
          </w:p>
        </w:tc>
        <w:tc>
          <w:tcPr>
            <w:tcW w:w="2024" w:type="dxa"/>
            <w:vAlign w:val="bottom"/>
          </w:tcPr>
          <w:p w14:paraId="6EB4F797">
            <w:pPr>
              <w:rPr>
                <w:rFonts w:ascii="仿宋_GB2312" w:hAnsi="仿宋_GB2312" w:eastAsia="仿宋_GB2312" w:cs="仿宋_GB2312"/>
                <w:sz w:val="24"/>
                <w:szCs w:val="24"/>
              </w:rPr>
            </w:pPr>
          </w:p>
        </w:tc>
        <w:tc>
          <w:tcPr>
            <w:tcW w:w="2024" w:type="dxa"/>
            <w:vAlign w:val="bottom"/>
          </w:tcPr>
          <w:p w14:paraId="54DC0CC9">
            <w:pPr>
              <w:rPr>
                <w:rFonts w:ascii="仿宋_GB2312" w:hAnsi="仿宋_GB2312" w:eastAsia="仿宋_GB2312" w:cs="仿宋_GB2312"/>
                <w:sz w:val="24"/>
                <w:szCs w:val="24"/>
              </w:rPr>
            </w:pPr>
            <w:r>
              <w:rPr>
                <w:rFonts w:hint="eastAsia" w:ascii="仿宋_GB2312" w:eastAsia="仿宋_GB2312" w:hAnsiTheme="minorEastAsia" w:cstheme="minorEastAsia"/>
                <w:sz w:val="24"/>
                <w:szCs w:val="24"/>
              </w:rPr>
              <w:t>确认日期</w:t>
            </w:r>
          </w:p>
        </w:tc>
        <w:tc>
          <w:tcPr>
            <w:tcW w:w="2026" w:type="dxa"/>
            <w:vAlign w:val="bottom"/>
          </w:tcPr>
          <w:p w14:paraId="0805D3B7">
            <w:pPr>
              <w:rPr>
                <w:rFonts w:ascii="仿宋_GB2312" w:hAnsi="仿宋_GB2312" w:eastAsia="仿宋_GB2312" w:cs="仿宋_GB2312"/>
                <w:sz w:val="24"/>
                <w:szCs w:val="24"/>
              </w:rPr>
            </w:pPr>
          </w:p>
        </w:tc>
      </w:tr>
    </w:tbl>
    <w:p w14:paraId="2E490A09">
      <w:pPr>
        <w:pStyle w:val="31"/>
        <w:ind w:firstLine="420"/>
      </w:pPr>
    </w:p>
    <w:p w14:paraId="29BBFC56">
      <w:pPr>
        <w:spacing w:line="560" w:lineRule="exact"/>
        <w:rPr>
          <w:rFonts w:ascii="黑体" w:hAnsi="黑体" w:eastAsia="黑体" w:cs="黑体"/>
          <w:sz w:val="32"/>
          <w:szCs w:val="32"/>
        </w:rPr>
      </w:pPr>
    </w:p>
    <w:p w14:paraId="7983CAC1">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757B9E6F">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6C07FEEA">
      <w:pPr>
        <w:rPr>
          <w:rFonts w:ascii="Times New Roman" w:hAnsi="Times New Roman" w:eastAsia="黑体" w:cs="Times New Roman"/>
          <w:b/>
          <w:sz w:val="32"/>
          <w:szCs w:val="32"/>
        </w:rPr>
      </w:pPr>
      <w:r>
        <w:rPr>
          <w:rFonts w:ascii="Times New Roman" w:hAnsi="Times New Roman" w:eastAsia="黑体" w:cs="Times New Roman"/>
          <w:b/>
          <w:sz w:val="32"/>
          <w:szCs w:val="32"/>
        </w:rPr>
        <w:br w:type="page"/>
      </w:r>
    </w:p>
    <w:p w14:paraId="233A6BF6">
      <w:pPr>
        <w:pStyle w:val="33"/>
        <w:tabs>
          <w:tab w:val="left" w:pos="6720"/>
        </w:tabs>
        <w:spacing w:line="560" w:lineRule="exact"/>
        <w:ind w:firstLine="0" w:firstLineChars="0"/>
        <w:outlineLvl w:val="1"/>
        <w:rPr>
          <w:rFonts w:hint="default" w:ascii="黑体" w:hAnsi="黑体" w:eastAsia="黑体" w:cs="黑体"/>
          <w:b w:val="0"/>
          <w:bCs/>
          <w:sz w:val="32"/>
          <w:szCs w:val="32"/>
        </w:rPr>
      </w:pPr>
      <w:r>
        <w:rPr>
          <w:rFonts w:hint="eastAsia" w:ascii="黑体" w:hAnsi="黑体" w:eastAsia="黑体" w:cs="黑体"/>
          <w:b w:val="0"/>
          <w:bCs/>
          <w:sz w:val="32"/>
          <w:szCs w:val="32"/>
        </w:rPr>
        <w:t>附录6</w:t>
      </w:r>
    </w:p>
    <w:p w14:paraId="3132BA1B">
      <w:pPr>
        <w:pStyle w:val="33"/>
        <w:tabs>
          <w:tab w:val="left" w:pos="6720"/>
        </w:tabs>
        <w:spacing w:line="560" w:lineRule="exact"/>
        <w:ind w:firstLine="0" w:firstLineChars="0"/>
        <w:jc w:val="center"/>
        <w:rPr>
          <w:rFonts w:ascii="方正小标宋_GBK" w:hAnsi="方正小标宋_GBK" w:eastAsia="方正小标宋_GBK" w:cs="方正小标宋_GBK"/>
          <w:sz w:val="44"/>
          <w:szCs w:val="44"/>
        </w:rPr>
      </w:pPr>
    </w:p>
    <w:p w14:paraId="0EC822D3">
      <w:pPr>
        <w:pStyle w:val="33"/>
        <w:tabs>
          <w:tab w:val="left" w:pos="6720"/>
        </w:tabs>
        <w:spacing w:line="560" w:lineRule="exact"/>
        <w:ind w:firstLine="0" w:firstLineChars="0"/>
        <w:jc w:val="center"/>
        <w:rPr>
          <w:rFonts w:hint="default" w:ascii="Times New Roman" w:hAnsi="Times New Roman" w:eastAsia="黑体" w:cs="Times New Roman"/>
          <w:b/>
          <w:sz w:val="32"/>
          <w:szCs w:val="32"/>
        </w:rPr>
      </w:pPr>
      <w:r>
        <w:rPr>
          <w:rFonts w:ascii="方正小标宋_GBK" w:hAnsi="方正小标宋_GBK" w:eastAsia="方正小标宋_GBK" w:cs="方正小标宋_GBK"/>
          <w:sz w:val="44"/>
          <w:szCs w:val="44"/>
        </w:rPr>
        <w:t>虚拟电厂运营商接入申请表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1251"/>
        <w:gridCol w:w="1306"/>
        <w:gridCol w:w="1527"/>
        <w:gridCol w:w="1180"/>
        <w:gridCol w:w="2151"/>
      </w:tblGrid>
      <w:tr w14:paraId="29F1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15CD192F">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b/>
                <w:bCs/>
                <w:spacing w:val="3"/>
                <w:sz w:val="24"/>
                <w:szCs w:val="20"/>
              </w:rPr>
              <w:t>基本信息</w:t>
            </w:r>
          </w:p>
        </w:tc>
      </w:tr>
      <w:tr w14:paraId="4652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7" w:type="dxa"/>
            <w:tcBorders>
              <w:top w:val="single" w:color="auto" w:sz="4" w:space="0"/>
              <w:left w:val="single" w:color="auto" w:sz="4" w:space="0"/>
              <w:bottom w:val="single" w:color="auto" w:sz="4" w:space="0"/>
              <w:right w:val="single" w:color="auto" w:sz="4" w:space="0"/>
            </w:tcBorders>
            <w:vAlign w:val="center"/>
          </w:tcPr>
          <w:p w14:paraId="4C1D1F1B">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运营商企业社会信用代码</w:t>
            </w:r>
          </w:p>
        </w:tc>
        <w:tc>
          <w:tcPr>
            <w:tcW w:w="7415" w:type="dxa"/>
            <w:gridSpan w:val="5"/>
            <w:tcBorders>
              <w:top w:val="single" w:color="auto" w:sz="4" w:space="0"/>
              <w:left w:val="single" w:color="auto" w:sz="4" w:space="0"/>
              <w:bottom w:val="single" w:color="auto" w:sz="4" w:space="0"/>
              <w:right w:val="single" w:color="auto" w:sz="4" w:space="0"/>
            </w:tcBorders>
            <w:vAlign w:val="center"/>
          </w:tcPr>
          <w:p w14:paraId="553CB9E1">
            <w:pPr>
              <w:adjustRightInd w:val="0"/>
              <w:snapToGrid w:val="0"/>
              <w:jc w:val="center"/>
              <w:rPr>
                <w:rFonts w:ascii="仿宋_GB2312" w:hAnsi="仿宋_GB2312" w:eastAsia="仿宋_GB2312" w:cs="仿宋_GB2312"/>
                <w:szCs w:val="21"/>
              </w:rPr>
            </w:pPr>
          </w:p>
        </w:tc>
      </w:tr>
      <w:tr w14:paraId="1A38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7" w:type="dxa"/>
            <w:tcBorders>
              <w:top w:val="single" w:color="auto" w:sz="4" w:space="0"/>
              <w:left w:val="single" w:color="auto" w:sz="4" w:space="0"/>
              <w:bottom w:val="single" w:color="auto" w:sz="4" w:space="0"/>
              <w:right w:val="single" w:color="auto" w:sz="4" w:space="0"/>
            </w:tcBorders>
            <w:vAlign w:val="center"/>
          </w:tcPr>
          <w:p w14:paraId="5E874797">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运营商</w:t>
            </w:r>
          </w:p>
          <w:p w14:paraId="38F89B90">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名称</w:t>
            </w:r>
          </w:p>
        </w:tc>
        <w:tc>
          <w:tcPr>
            <w:tcW w:w="7415" w:type="dxa"/>
            <w:gridSpan w:val="5"/>
            <w:tcBorders>
              <w:top w:val="single" w:color="auto" w:sz="4" w:space="0"/>
              <w:left w:val="single" w:color="auto" w:sz="4" w:space="0"/>
              <w:bottom w:val="single" w:color="auto" w:sz="4" w:space="0"/>
              <w:right w:val="single" w:color="auto" w:sz="4" w:space="0"/>
            </w:tcBorders>
            <w:vAlign w:val="center"/>
          </w:tcPr>
          <w:p w14:paraId="4F0C780B">
            <w:pPr>
              <w:adjustRightInd w:val="0"/>
              <w:snapToGrid w:val="0"/>
              <w:jc w:val="center"/>
              <w:rPr>
                <w:rFonts w:ascii="仿宋_GB2312" w:hAnsi="仿宋_GB2312" w:eastAsia="仿宋_GB2312" w:cs="仿宋_GB2312"/>
                <w:szCs w:val="21"/>
              </w:rPr>
            </w:pPr>
          </w:p>
        </w:tc>
      </w:tr>
      <w:tr w14:paraId="3913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7" w:type="dxa"/>
            <w:tcBorders>
              <w:top w:val="single" w:color="auto" w:sz="4" w:space="0"/>
              <w:left w:val="single" w:color="auto" w:sz="4" w:space="0"/>
              <w:bottom w:val="single" w:color="auto" w:sz="4" w:space="0"/>
              <w:right w:val="single" w:color="auto" w:sz="4" w:space="0"/>
            </w:tcBorders>
            <w:vAlign w:val="center"/>
          </w:tcPr>
          <w:p w14:paraId="409F8289">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法人代表及身份证件号</w:t>
            </w:r>
          </w:p>
        </w:tc>
        <w:tc>
          <w:tcPr>
            <w:tcW w:w="2557" w:type="dxa"/>
            <w:gridSpan w:val="2"/>
            <w:tcBorders>
              <w:top w:val="single" w:color="auto" w:sz="4" w:space="0"/>
              <w:left w:val="single" w:color="auto" w:sz="4" w:space="0"/>
              <w:bottom w:val="single" w:color="auto" w:sz="4" w:space="0"/>
              <w:right w:val="single" w:color="auto" w:sz="4" w:space="0"/>
            </w:tcBorders>
            <w:vAlign w:val="center"/>
          </w:tcPr>
          <w:p w14:paraId="71DBFC25">
            <w:pPr>
              <w:adjustRightInd w:val="0"/>
              <w:snapToGrid w:val="0"/>
              <w:jc w:val="center"/>
              <w:rPr>
                <w:rFonts w:ascii="仿宋_GB2312" w:hAnsi="仿宋_GB2312" w:eastAsia="仿宋_GB2312" w:cs="仿宋_GB2312"/>
                <w:szCs w:val="21"/>
              </w:rPr>
            </w:pPr>
          </w:p>
        </w:tc>
        <w:tc>
          <w:tcPr>
            <w:tcW w:w="1527" w:type="dxa"/>
            <w:tcBorders>
              <w:top w:val="single" w:color="auto" w:sz="4" w:space="0"/>
              <w:left w:val="single" w:color="auto" w:sz="4" w:space="0"/>
              <w:bottom w:val="single" w:color="auto" w:sz="4" w:space="0"/>
              <w:right w:val="single" w:color="auto" w:sz="4" w:space="0"/>
            </w:tcBorders>
            <w:vAlign w:val="center"/>
          </w:tcPr>
          <w:p w14:paraId="59E39097">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统一社会信用代码</w:t>
            </w:r>
          </w:p>
        </w:tc>
        <w:tc>
          <w:tcPr>
            <w:tcW w:w="3331" w:type="dxa"/>
            <w:gridSpan w:val="2"/>
            <w:tcBorders>
              <w:top w:val="single" w:color="auto" w:sz="4" w:space="0"/>
              <w:left w:val="single" w:color="auto" w:sz="4" w:space="0"/>
              <w:bottom w:val="single" w:color="auto" w:sz="4" w:space="0"/>
              <w:right w:val="single" w:color="auto" w:sz="4" w:space="0"/>
            </w:tcBorders>
            <w:vAlign w:val="center"/>
          </w:tcPr>
          <w:p w14:paraId="4CD296E1">
            <w:pPr>
              <w:adjustRightInd w:val="0"/>
              <w:snapToGrid w:val="0"/>
              <w:jc w:val="center"/>
              <w:rPr>
                <w:rFonts w:ascii="仿宋_GB2312" w:hAnsi="仿宋_GB2312" w:eastAsia="仿宋_GB2312" w:cs="仿宋_GB2312"/>
                <w:szCs w:val="21"/>
              </w:rPr>
            </w:pPr>
          </w:p>
        </w:tc>
      </w:tr>
      <w:tr w14:paraId="23F9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7" w:type="dxa"/>
            <w:tcBorders>
              <w:top w:val="single" w:color="auto" w:sz="4" w:space="0"/>
              <w:left w:val="single" w:color="auto" w:sz="4" w:space="0"/>
              <w:bottom w:val="single" w:color="auto" w:sz="4" w:space="0"/>
              <w:right w:val="single" w:color="auto" w:sz="4" w:space="0"/>
            </w:tcBorders>
            <w:vAlign w:val="center"/>
          </w:tcPr>
          <w:p w14:paraId="7971834B">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公司地点</w:t>
            </w:r>
          </w:p>
        </w:tc>
        <w:tc>
          <w:tcPr>
            <w:tcW w:w="2557" w:type="dxa"/>
            <w:gridSpan w:val="2"/>
            <w:tcBorders>
              <w:top w:val="single" w:color="auto" w:sz="4" w:space="0"/>
              <w:left w:val="single" w:color="auto" w:sz="4" w:space="0"/>
              <w:bottom w:val="single" w:color="auto" w:sz="4" w:space="0"/>
              <w:right w:val="single" w:color="auto" w:sz="4" w:space="0"/>
            </w:tcBorders>
            <w:vAlign w:val="center"/>
          </w:tcPr>
          <w:p w14:paraId="7A04DFF2">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示例：XX市XX区XX路XX号</w:t>
            </w:r>
          </w:p>
        </w:tc>
        <w:tc>
          <w:tcPr>
            <w:tcW w:w="1527" w:type="dxa"/>
            <w:tcBorders>
              <w:top w:val="single" w:color="auto" w:sz="4" w:space="0"/>
              <w:left w:val="single" w:color="auto" w:sz="4" w:space="0"/>
              <w:bottom w:val="single" w:color="auto" w:sz="4" w:space="0"/>
              <w:right w:val="single" w:color="auto" w:sz="4" w:space="0"/>
            </w:tcBorders>
            <w:vAlign w:val="center"/>
          </w:tcPr>
          <w:p w14:paraId="54D6CEE7">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申请日期</w:t>
            </w:r>
          </w:p>
        </w:tc>
        <w:tc>
          <w:tcPr>
            <w:tcW w:w="3331" w:type="dxa"/>
            <w:gridSpan w:val="2"/>
            <w:tcBorders>
              <w:top w:val="single" w:color="auto" w:sz="4" w:space="0"/>
              <w:left w:val="single" w:color="auto" w:sz="4" w:space="0"/>
              <w:bottom w:val="single" w:color="auto" w:sz="4" w:space="0"/>
              <w:right w:val="single" w:color="auto" w:sz="4" w:space="0"/>
            </w:tcBorders>
            <w:vAlign w:val="center"/>
          </w:tcPr>
          <w:p w14:paraId="27754913">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示例：XXXX-XX-XX</w:t>
            </w:r>
          </w:p>
        </w:tc>
      </w:tr>
      <w:tr w14:paraId="728A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7" w:type="dxa"/>
            <w:tcBorders>
              <w:top w:val="single" w:color="auto" w:sz="4" w:space="0"/>
              <w:left w:val="single" w:color="auto" w:sz="4" w:space="0"/>
              <w:bottom w:val="single" w:color="auto" w:sz="4" w:space="0"/>
              <w:right w:val="single" w:color="auto" w:sz="4" w:space="0"/>
            </w:tcBorders>
            <w:vAlign w:val="center"/>
          </w:tcPr>
          <w:p w14:paraId="63D7F3A5">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联系人</w:t>
            </w:r>
          </w:p>
        </w:tc>
        <w:tc>
          <w:tcPr>
            <w:tcW w:w="1251" w:type="dxa"/>
            <w:tcBorders>
              <w:top w:val="single" w:color="auto" w:sz="4" w:space="0"/>
              <w:left w:val="single" w:color="auto" w:sz="4" w:space="0"/>
              <w:bottom w:val="single" w:color="auto" w:sz="4" w:space="0"/>
              <w:right w:val="single" w:color="auto" w:sz="4" w:space="0"/>
            </w:tcBorders>
            <w:vAlign w:val="center"/>
          </w:tcPr>
          <w:p w14:paraId="2E7D88FA">
            <w:pPr>
              <w:adjustRightInd w:val="0"/>
              <w:snapToGrid w:val="0"/>
              <w:jc w:val="center"/>
              <w:rPr>
                <w:rFonts w:ascii="仿宋_GB2312" w:hAnsi="仿宋_GB2312" w:eastAsia="仿宋_GB2312" w:cs="仿宋_GB2312"/>
                <w:szCs w:val="21"/>
              </w:rPr>
            </w:pPr>
          </w:p>
        </w:tc>
        <w:tc>
          <w:tcPr>
            <w:tcW w:w="1306" w:type="dxa"/>
            <w:tcBorders>
              <w:top w:val="single" w:color="auto" w:sz="4" w:space="0"/>
              <w:left w:val="single" w:color="auto" w:sz="4" w:space="0"/>
              <w:bottom w:val="single" w:color="auto" w:sz="4" w:space="0"/>
              <w:right w:val="single" w:color="auto" w:sz="4" w:space="0"/>
            </w:tcBorders>
            <w:vAlign w:val="center"/>
          </w:tcPr>
          <w:p w14:paraId="779C530A">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联系电话</w:t>
            </w:r>
          </w:p>
        </w:tc>
        <w:tc>
          <w:tcPr>
            <w:tcW w:w="1527" w:type="dxa"/>
            <w:tcBorders>
              <w:top w:val="single" w:color="auto" w:sz="4" w:space="0"/>
              <w:left w:val="single" w:color="auto" w:sz="4" w:space="0"/>
              <w:bottom w:val="single" w:color="auto" w:sz="4" w:space="0"/>
              <w:right w:val="single" w:color="auto" w:sz="4" w:space="0"/>
            </w:tcBorders>
            <w:vAlign w:val="center"/>
          </w:tcPr>
          <w:p w14:paraId="7A92E70F">
            <w:pPr>
              <w:adjustRightInd w:val="0"/>
              <w:snapToGrid w:val="0"/>
              <w:jc w:val="center"/>
              <w:rPr>
                <w:rFonts w:ascii="仿宋_GB2312" w:hAnsi="仿宋_GB2312" w:eastAsia="仿宋_GB2312" w:cs="仿宋_GB2312"/>
                <w:szCs w:val="21"/>
              </w:rPr>
            </w:pPr>
          </w:p>
        </w:tc>
        <w:tc>
          <w:tcPr>
            <w:tcW w:w="1180" w:type="dxa"/>
            <w:tcBorders>
              <w:top w:val="single" w:color="auto" w:sz="4" w:space="0"/>
              <w:left w:val="single" w:color="auto" w:sz="4" w:space="0"/>
              <w:bottom w:val="single" w:color="auto" w:sz="4" w:space="0"/>
              <w:right w:val="single" w:color="auto" w:sz="4" w:space="0"/>
            </w:tcBorders>
            <w:vAlign w:val="center"/>
          </w:tcPr>
          <w:p w14:paraId="523F73E5">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电子邮箱</w:t>
            </w:r>
          </w:p>
        </w:tc>
        <w:tc>
          <w:tcPr>
            <w:tcW w:w="2151" w:type="dxa"/>
            <w:tcBorders>
              <w:top w:val="single" w:color="auto" w:sz="4" w:space="0"/>
              <w:left w:val="single" w:color="auto" w:sz="4" w:space="0"/>
              <w:bottom w:val="single" w:color="auto" w:sz="4" w:space="0"/>
              <w:right w:val="single" w:color="auto" w:sz="4" w:space="0"/>
            </w:tcBorders>
            <w:vAlign w:val="center"/>
          </w:tcPr>
          <w:p w14:paraId="2B8921A1">
            <w:pPr>
              <w:adjustRightInd w:val="0"/>
              <w:snapToGrid w:val="0"/>
              <w:jc w:val="center"/>
              <w:rPr>
                <w:rFonts w:ascii="仿宋_GB2312" w:hAnsi="仿宋_GB2312" w:eastAsia="仿宋_GB2312" w:cs="仿宋_GB2312"/>
                <w:szCs w:val="21"/>
              </w:rPr>
            </w:pPr>
          </w:p>
        </w:tc>
      </w:tr>
      <w:tr w14:paraId="0225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6F4CF484">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平台信息</w:t>
            </w:r>
          </w:p>
        </w:tc>
      </w:tr>
      <w:tr w14:paraId="44F4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07" w:type="dxa"/>
            <w:tcBorders>
              <w:top w:val="single" w:color="auto" w:sz="4" w:space="0"/>
              <w:left w:val="single" w:color="auto" w:sz="4" w:space="0"/>
              <w:bottom w:val="single" w:color="auto" w:sz="4" w:space="0"/>
              <w:right w:val="single" w:color="auto" w:sz="4" w:space="0"/>
            </w:tcBorders>
            <w:vAlign w:val="center"/>
          </w:tcPr>
          <w:p w14:paraId="3BE3E8ED">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是否自建技术支持系统</w:t>
            </w:r>
          </w:p>
        </w:tc>
        <w:tc>
          <w:tcPr>
            <w:tcW w:w="2557" w:type="dxa"/>
            <w:gridSpan w:val="2"/>
            <w:tcBorders>
              <w:top w:val="single" w:color="auto" w:sz="4" w:space="0"/>
              <w:left w:val="single" w:color="auto" w:sz="4" w:space="0"/>
              <w:bottom w:val="single" w:color="auto" w:sz="4" w:space="0"/>
              <w:right w:val="single" w:color="auto" w:sz="4" w:space="0"/>
            </w:tcBorders>
            <w:vAlign w:val="center"/>
          </w:tcPr>
          <w:p w14:paraId="6E77264C">
            <w:pPr>
              <w:adjustRightInd w:val="0"/>
              <w:snapToGrid w:val="0"/>
              <w:jc w:val="center"/>
              <w:rPr>
                <w:rFonts w:ascii="仿宋_GB2312" w:hAnsi="仿宋_GB2312" w:eastAsia="仿宋_GB2312" w:cs="仿宋_GB2312"/>
                <w:szCs w:val="21"/>
              </w:rPr>
            </w:pPr>
          </w:p>
        </w:tc>
        <w:tc>
          <w:tcPr>
            <w:tcW w:w="1527" w:type="dxa"/>
            <w:tcBorders>
              <w:top w:val="single" w:color="auto" w:sz="4" w:space="0"/>
              <w:left w:val="single" w:color="auto" w:sz="4" w:space="0"/>
              <w:bottom w:val="single" w:color="auto" w:sz="4" w:space="0"/>
              <w:right w:val="single" w:color="auto" w:sz="4" w:space="0"/>
            </w:tcBorders>
            <w:vAlign w:val="center"/>
          </w:tcPr>
          <w:p w14:paraId="5489FA63">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虚拟电厂运营商技术支持系统名称</w:t>
            </w:r>
          </w:p>
        </w:tc>
        <w:tc>
          <w:tcPr>
            <w:tcW w:w="3331" w:type="dxa"/>
            <w:gridSpan w:val="2"/>
            <w:tcBorders>
              <w:top w:val="single" w:color="auto" w:sz="4" w:space="0"/>
              <w:left w:val="single" w:color="auto" w:sz="4" w:space="0"/>
              <w:bottom w:val="single" w:color="auto" w:sz="4" w:space="0"/>
              <w:right w:val="single" w:color="auto" w:sz="4" w:space="0"/>
            </w:tcBorders>
            <w:vAlign w:val="center"/>
          </w:tcPr>
          <w:p w14:paraId="54149494">
            <w:pPr>
              <w:adjustRightInd w:val="0"/>
              <w:snapToGrid w:val="0"/>
              <w:jc w:val="center"/>
              <w:rPr>
                <w:rFonts w:ascii="仿宋_GB2312" w:hAnsi="仿宋_GB2312" w:eastAsia="仿宋_GB2312" w:cs="仿宋_GB2312"/>
                <w:szCs w:val="21"/>
              </w:rPr>
            </w:pPr>
          </w:p>
        </w:tc>
      </w:tr>
      <w:tr w14:paraId="7655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07" w:type="dxa"/>
            <w:tcBorders>
              <w:top w:val="single" w:color="auto" w:sz="4" w:space="0"/>
              <w:left w:val="single" w:color="auto" w:sz="4" w:space="0"/>
              <w:bottom w:val="single" w:color="auto" w:sz="4" w:space="0"/>
              <w:right w:val="single" w:color="auto" w:sz="4" w:space="0"/>
            </w:tcBorders>
            <w:vAlign w:val="center"/>
          </w:tcPr>
          <w:p w14:paraId="54662213">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平台版本号</w:t>
            </w:r>
          </w:p>
        </w:tc>
        <w:tc>
          <w:tcPr>
            <w:tcW w:w="2557" w:type="dxa"/>
            <w:gridSpan w:val="2"/>
            <w:tcBorders>
              <w:top w:val="single" w:color="auto" w:sz="4" w:space="0"/>
              <w:left w:val="single" w:color="auto" w:sz="4" w:space="0"/>
              <w:bottom w:val="single" w:color="auto" w:sz="4" w:space="0"/>
              <w:right w:val="single" w:color="auto" w:sz="4" w:space="0"/>
            </w:tcBorders>
            <w:vAlign w:val="center"/>
          </w:tcPr>
          <w:p w14:paraId="2BF1DBB9">
            <w:pPr>
              <w:adjustRightInd w:val="0"/>
              <w:snapToGrid w:val="0"/>
              <w:jc w:val="center"/>
              <w:rPr>
                <w:rFonts w:ascii="仿宋_GB2312" w:hAnsi="仿宋_GB2312" w:eastAsia="仿宋_GB2312" w:cs="仿宋_GB2312"/>
                <w:szCs w:val="21"/>
              </w:rPr>
            </w:pPr>
          </w:p>
        </w:tc>
        <w:tc>
          <w:tcPr>
            <w:tcW w:w="1527" w:type="dxa"/>
            <w:tcBorders>
              <w:top w:val="single" w:color="auto" w:sz="4" w:space="0"/>
              <w:left w:val="single" w:color="auto" w:sz="4" w:space="0"/>
              <w:bottom w:val="single" w:color="auto" w:sz="4" w:space="0"/>
              <w:right w:val="single" w:color="auto" w:sz="4" w:space="0"/>
            </w:tcBorders>
            <w:vAlign w:val="center"/>
          </w:tcPr>
          <w:p w14:paraId="09CC00FA">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域名</w:t>
            </w:r>
          </w:p>
        </w:tc>
        <w:tc>
          <w:tcPr>
            <w:tcW w:w="3331" w:type="dxa"/>
            <w:gridSpan w:val="2"/>
            <w:tcBorders>
              <w:top w:val="single" w:color="auto" w:sz="4" w:space="0"/>
              <w:left w:val="single" w:color="auto" w:sz="4" w:space="0"/>
              <w:bottom w:val="single" w:color="auto" w:sz="4" w:space="0"/>
              <w:right w:val="single" w:color="auto" w:sz="4" w:space="0"/>
            </w:tcBorders>
            <w:vAlign w:val="center"/>
          </w:tcPr>
          <w:p w14:paraId="0DB0E4BE">
            <w:pPr>
              <w:adjustRightInd w:val="0"/>
              <w:snapToGrid w:val="0"/>
              <w:jc w:val="center"/>
              <w:rPr>
                <w:rFonts w:ascii="仿宋_GB2312" w:hAnsi="仿宋_GB2312" w:eastAsia="仿宋_GB2312" w:cs="仿宋_GB2312"/>
                <w:szCs w:val="21"/>
              </w:rPr>
            </w:pPr>
          </w:p>
        </w:tc>
      </w:tr>
      <w:tr w14:paraId="00DB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07" w:type="dxa"/>
            <w:tcBorders>
              <w:top w:val="single" w:color="auto" w:sz="4" w:space="0"/>
              <w:left w:val="single" w:color="auto" w:sz="4" w:space="0"/>
              <w:bottom w:val="single" w:color="auto" w:sz="4" w:space="0"/>
              <w:right w:val="single" w:color="auto" w:sz="4" w:space="0"/>
            </w:tcBorders>
            <w:vAlign w:val="center"/>
          </w:tcPr>
          <w:p w14:paraId="019014D8">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平台开发厂家</w:t>
            </w:r>
          </w:p>
        </w:tc>
        <w:tc>
          <w:tcPr>
            <w:tcW w:w="2557" w:type="dxa"/>
            <w:gridSpan w:val="2"/>
            <w:tcBorders>
              <w:top w:val="single" w:color="auto" w:sz="4" w:space="0"/>
              <w:left w:val="single" w:color="auto" w:sz="4" w:space="0"/>
              <w:bottom w:val="single" w:color="auto" w:sz="4" w:space="0"/>
              <w:right w:val="single" w:color="auto" w:sz="4" w:space="0"/>
            </w:tcBorders>
            <w:vAlign w:val="center"/>
          </w:tcPr>
          <w:p w14:paraId="53F9909B">
            <w:pPr>
              <w:adjustRightInd w:val="0"/>
              <w:snapToGrid w:val="0"/>
              <w:jc w:val="center"/>
              <w:rPr>
                <w:rFonts w:ascii="仿宋_GB2312" w:hAnsi="仿宋_GB2312" w:eastAsia="仿宋_GB2312" w:cs="仿宋_GB2312"/>
                <w:szCs w:val="21"/>
              </w:rPr>
            </w:pPr>
          </w:p>
        </w:tc>
        <w:tc>
          <w:tcPr>
            <w:tcW w:w="1527" w:type="dxa"/>
            <w:tcBorders>
              <w:top w:val="single" w:color="auto" w:sz="4" w:space="0"/>
              <w:left w:val="single" w:color="auto" w:sz="4" w:space="0"/>
              <w:bottom w:val="single" w:color="auto" w:sz="4" w:space="0"/>
              <w:right w:val="single" w:color="auto" w:sz="4" w:space="0"/>
            </w:tcBorders>
            <w:vAlign w:val="center"/>
          </w:tcPr>
          <w:p w14:paraId="45411890">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平台投运时间</w:t>
            </w:r>
          </w:p>
        </w:tc>
        <w:tc>
          <w:tcPr>
            <w:tcW w:w="3331" w:type="dxa"/>
            <w:gridSpan w:val="2"/>
            <w:tcBorders>
              <w:top w:val="single" w:color="auto" w:sz="4" w:space="0"/>
              <w:left w:val="single" w:color="auto" w:sz="4" w:space="0"/>
              <w:bottom w:val="single" w:color="auto" w:sz="4" w:space="0"/>
              <w:right w:val="single" w:color="auto" w:sz="4" w:space="0"/>
            </w:tcBorders>
            <w:vAlign w:val="center"/>
          </w:tcPr>
          <w:p w14:paraId="5C5A1255">
            <w:pPr>
              <w:adjustRightInd w:val="0"/>
              <w:snapToGrid w:val="0"/>
              <w:jc w:val="center"/>
              <w:rPr>
                <w:rFonts w:ascii="仿宋_GB2312" w:hAnsi="仿宋_GB2312" w:eastAsia="仿宋_GB2312" w:cs="仿宋_GB2312"/>
                <w:szCs w:val="21"/>
              </w:rPr>
            </w:pPr>
          </w:p>
        </w:tc>
      </w:tr>
      <w:tr w14:paraId="5DD9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1107" w:type="dxa"/>
            <w:tcBorders>
              <w:top w:val="single" w:color="auto" w:sz="4" w:space="0"/>
              <w:left w:val="single" w:color="auto" w:sz="4" w:space="0"/>
              <w:bottom w:val="single" w:color="auto" w:sz="4" w:space="0"/>
              <w:right w:val="single" w:color="auto" w:sz="4" w:space="0"/>
            </w:tcBorders>
            <w:vAlign w:val="center"/>
          </w:tcPr>
          <w:p w14:paraId="7869A1D2">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机房所在地点</w:t>
            </w:r>
          </w:p>
        </w:tc>
        <w:tc>
          <w:tcPr>
            <w:tcW w:w="2557" w:type="dxa"/>
            <w:gridSpan w:val="2"/>
            <w:tcBorders>
              <w:top w:val="single" w:color="auto" w:sz="4" w:space="0"/>
              <w:left w:val="single" w:color="auto" w:sz="4" w:space="0"/>
              <w:bottom w:val="single" w:color="auto" w:sz="4" w:space="0"/>
              <w:right w:val="single" w:color="auto" w:sz="4" w:space="0"/>
            </w:tcBorders>
            <w:vAlign w:val="center"/>
          </w:tcPr>
          <w:p w14:paraId="6076757E">
            <w:pPr>
              <w:adjustRightInd w:val="0"/>
              <w:snapToGrid w:val="0"/>
              <w:jc w:val="center"/>
              <w:rPr>
                <w:rFonts w:ascii="仿宋_GB2312" w:hAnsi="仿宋_GB2312" w:eastAsia="仿宋_GB2312" w:cs="仿宋_GB2312"/>
                <w:szCs w:val="21"/>
              </w:rPr>
            </w:pPr>
          </w:p>
        </w:tc>
        <w:tc>
          <w:tcPr>
            <w:tcW w:w="1527" w:type="dxa"/>
            <w:tcBorders>
              <w:top w:val="single" w:color="auto" w:sz="4" w:space="0"/>
              <w:left w:val="single" w:color="auto" w:sz="4" w:space="0"/>
              <w:bottom w:val="single" w:color="auto" w:sz="4" w:space="0"/>
              <w:right w:val="single" w:color="auto" w:sz="4" w:space="0"/>
            </w:tcBorders>
            <w:vAlign w:val="center"/>
          </w:tcPr>
          <w:p w14:paraId="5478D396">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国家信息安全等级保护认证级别</w:t>
            </w:r>
          </w:p>
        </w:tc>
        <w:tc>
          <w:tcPr>
            <w:tcW w:w="3331" w:type="dxa"/>
            <w:gridSpan w:val="2"/>
            <w:tcBorders>
              <w:top w:val="single" w:color="auto" w:sz="4" w:space="0"/>
              <w:left w:val="single" w:color="auto" w:sz="4" w:space="0"/>
              <w:bottom w:val="single" w:color="auto" w:sz="4" w:space="0"/>
              <w:right w:val="single" w:color="auto" w:sz="4" w:space="0"/>
            </w:tcBorders>
            <w:vAlign w:val="center"/>
          </w:tcPr>
          <w:p w14:paraId="3DB76383">
            <w:pPr>
              <w:adjustRightInd w:val="0"/>
              <w:snapToGrid w:val="0"/>
              <w:jc w:val="center"/>
              <w:rPr>
                <w:rFonts w:ascii="仿宋_GB2312" w:hAnsi="仿宋_GB2312" w:eastAsia="仿宋_GB2312" w:cs="仿宋_GB2312"/>
                <w:szCs w:val="21"/>
              </w:rPr>
            </w:pPr>
          </w:p>
        </w:tc>
      </w:tr>
      <w:tr w14:paraId="522C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8522" w:type="dxa"/>
            <w:gridSpan w:val="6"/>
            <w:tcBorders>
              <w:top w:val="single" w:color="auto" w:sz="4" w:space="0"/>
              <w:left w:val="single" w:color="auto" w:sz="4" w:space="0"/>
              <w:right w:val="single" w:color="auto" w:sz="4" w:space="0"/>
            </w:tcBorders>
            <w:vAlign w:val="center"/>
          </w:tcPr>
          <w:p w14:paraId="1DE9CEB7">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b/>
                <w:bCs/>
                <w:spacing w:val="3"/>
                <w:sz w:val="24"/>
                <w:szCs w:val="20"/>
              </w:rPr>
              <w:t>申请说明</w:t>
            </w:r>
          </w:p>
        </w:tc>
      </w:tr>
      <w:tr w14:paraId="01B2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3" w:hRule="atLeast"/>
          <w:jc w:val="center"/>
        </w:trPr>
        <w:tc>
          <w:tcPr>
            <w:tcW w:w="8522" w:type="dxa"/>
            <w:gridSpan w:val="6"/>
            <w:tcBorders>
              <w:top w:val="single" w:color="auto" w:sz="4" w:space="0"/>
              <w:left w:val="single" w:color="auto" w:sz="4" w:space="0"/>
              <w:bottom w:val="single" w:color="auto" w:sz="4" w:space="0"/>
              <w:right w:val="single" w:color="auto" w:sz="4" w:space="0"/>
            </w:tcBorders>
          </w:tcPr>
          <w:p w14:paraId="43CEAC36"/>
          <w:p w14:paraId="4F4D0FC9"/>
          <w:p w14:paraId="675CFFF0"/>
        </w:tc>
      </w:tr>
      <w:tr w14:paraId="25C1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8" w:hRule="atLeast"/>
          <w:jc w:val="center"/>
        </w:trPr>
        <w:tc>
          <w:tcPr>
            <w:tcW w:w="8522" w:type="dxa"/>
            <w:gridSpan w:val="6"/>
            <w:tcBorders>
              <w:top w:val="single" w:color="auto" w:sz="4" w:space="0"/>
              <w:left w:val="single" w:color="auto" w:sz="4" w:space="0"/>
              <w:bottom w:val="single" w:color="auto" w:sz="4" w:space="0"/>
              <w:right w:val="single" w:color="auto" w:sz="4" w:space="0"/>
            </w:tcBorders>
          </w:tcPr>
          <w:p w14:paraId="66D88D43">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主要技术支持系统功能简介</w:t>
            </w:r>
            <w:r>
              <w:rPr>
                <w:rFonts w:hint="eastAsia" w:ascii="仿宋_GB2312" w:hAnsi="仿宋_GB2312" w:cs="仿宋_GB2312"/>
                <w:szCs w:val="21"/>
              </w:rPr>
              <w:t>（</w:t>
            </w:r>
            <w:r>
              <w:rPr>
                <w:rFonts w:hint="eastAsia" w:ascii="仿宋_GB2312" w:hAnsi="仿宋_GB2312" w:eastAsia="仿宋_GB2312" w:cs="仿宋_GB2312"/>
                <w:szCs w:val="21"/>
              </w:rPr>
              <w:t>500字以内</w:t>
            </w:r>
            <w:r>
              <w:rPr>
                <w:rFonts w:hint="eastAsia" w:ascii="仿宋_GB2312" w:hAnsi="仿宋_GB2312" w:cs="仿宋_GB2312"/>
                <w:szCs w:val="21"/>
              </w:rPr>
              <w:t>）</w:t>
            </w:r>
            <w:r>
              <w:rPr>
                <w:rFonts w:hint="eastAsia" w:ascii="仿宋_GB2312" w:hAnsi="仿宋_GB2312" w:eastAsia="仿宋_GB2312" w:cs="仿宋_GB2312"/>
                <w:szCs w:val="21"/>
              </w:rPr>
              <w:t>：</w:t>
            </w:r>
          </w:p>
          <w:p w14:paraId="5D71D965">
            <w:pPr>
              <w:adjustRightInd w:val="0"/>
              <w:snapToGrid w:val="0"/>
              <w:rPr>
                <w:rFonts w:ascii="仿宋_GB2312" w:hAnsi="仿宋_GB2312" w:eastAsia="仿宋_GB2312" w:cs="仿宋_GB2312"/>
                <w:szCs w:val="21"/>
              </w:rPr>
            </w:pPr>
          </w:p>
          <w:p w14:paraId="5DA0CDF0">
            <w:pPr>
              <w:adjustRightInd w:val="0"/>
              <w:snapToGrid w:val="0"/>
              <w:rPr>
                <w:rFonts w:ascii="仿宋_GB2312" w:hAnsi="仿宋_GB2312" w:eastAsia="仿宋_GB2312" w:cs="仿宋_GB2312"/>
                <w:szCs w:val="21"/>
              </w:rPr>
            </w:pPr>
          </w:p>
        </w:tc>
      </w:tr>
      <w:tr w14:paraId="0C9F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8522" w:type="dxa"/>
            <w:gridSpan w:val="6"/>
            <w:tcBorders>
              <w:top w:val="single" w:color="auto" w:sz="4" w:space="0"/>
              <w:left w:val="single" w:color="auto" w:sz="4" w:space="0"/>
              <w:bottom w:val="single" w:color="auto" w:sz="4" w:space="0"/>
              <w:right w:val="single" w:color="auto" w:sz="4" w:space="0"/>
            </w:tcBorders>
          </w:tcPr>
          <w:p w14:paraId="63BB27D4">
            <w:pPr>
              <w:adjustRightInd w:val="0"/>
              <w:snapToGrid w:val="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申请单位承诺：</w:t>
            </w:r>
          </w:p>
          <w:p w14:paraId="23424D63">
            <w:pPr>
              <w:adjustRightInd w:val="0"/>
              <w:snapToGrid w:val="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本表填报的内容及提交的所有资料的原件或复印件及其内容是真实的。如有任何虚假，受理机构可终止审核认定；如因虚假资料引致法律责任，概由申请单位承担。</w:t>
            </w:r>
          </w:p>
          <w:p w14:paraId="67AB576B">
            <w:pPr>
              <w:adjustRightInd w:val="0"/>
              <w:snapToGrid w:val="0"/>
              <w:jc w:val="left"/>
              <w:rPr>
                <w:rFonts w:ascii="仿宋_GB2312" w:hAnsi="仿宋_GB2312" w:eastAsia="仿宋_GB2312" w:cs="仿宋_GB2312"/>
                <w:kern w:val="0"/>
                <w:szCs w:val="21"/>
              </w:rPr>
            </w:pPr>
          </w:p>
          <w:p w14:paraId="2E0A9D70">
            <w:pPr>
              <w:pStyle w:val="10"/>
              <w:spacing w:before="0" w:line="240" w:lineRule="auto"/>
              <w:ind w:firstLine="0" w:firstLineChars="0"/>
              <w:rPr>
                <w:rFonts w:ascii="仿宋_GB2312" w:hAnsi="仿宋_GB2312" w:eastAsia="仿宋_GB2312" w:cs="仿宋_GB2312"/>
                <w:sz w:val="21"/>
                <w:szCs w:val="21"/>
              </w:rPr>
            </w:pPr>
          </w:p>
          <w:p w14:paraId="37D502D0">
            <w:pPr>
              <w:adjustRightInd w:val="0"/>
              <w:snapToGrid w:val="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申请单位（盖章）：       法定代表人（签字）：</w:t>
            </w:r>
          </w:p>
          <w:p w14:paraId="61B4742D">
            <w:pPr>
              <w:adjustRightInd w:val="0"/>
              <w:snapToGrid w:val="0"/>
              <w:jc w:val="left"/>
              <w:rPr>
                <w:rFonts w:ascii="仿宋_GB2312" w:hAnsi="仿宋_GB2312" w:eastAsia="仿宋_GB2312" w:cs="仿宋_GB2312"/>
                <w:kern w:val="0"/>
                <w:szCs w:val="21"/>
              </w:rPr>
            </w:pPr>
          </w:p>
          <w:p w14:paraId="1E2189E3">
            <w:pPr>
              <w:adjustRightInd w:val="0"/>
              <w:snapToGrid w:val="0"/>
              <w:jc w:val="right"/>
              <w:rPr>
                <w:rFonts w:ascii="仿宋_GB2312" w:hAnsi="仿宋_GB2312" w:eastAsia="仿宋_GB2312" w:cs="仿宋_GB2312"/>
                <w:b/>
                <w:bCs/>
                <w:kern w:val="0"/>
                <w:szCs w:val="21"/>
              </w:rPr>
            </w:pPr>
            <w:r>
              <w:rPr>
                <w:rFonts w:hint="eastAsia" w:ascii="仿宋_GB2312" w:hAnsi="仿宋_GB2312" w:eastAsia="仿宋_GB2312" w:cs="仿宋_GB2312"/>
                <w:kern w:val="0"/>
                <w:szCs w:val="21"/>
              </w:rPr>
              <w:t>年    月    日</w:t>
            </w:r>
          </w:p>
        </w:tc>
      </w:tr>
      <w:tr w14:paraId="16CF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664" w:type="dxa"/>
            <w:gridSpan w:val="3"/>
            <w:tcBorders>
              <w:top w:val="single" w:color="auto" w:sz="4" w:space="0"/>
              <w:left w:val="single" w:color="auto" w:sz="4" w:space="0"/>
              <w:bottom w:val="single" w:color="auto" w:sz="4" w:space="0"/>
              <w:right w:val="single" w:color="auto" w:sz="4" w:space="0"/>
            </w:tcBorders>
            <w:vAlign w:val="center"/>
          </w:tcPr>
          <w:p w14:paraId="01DD7A0D">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联系人：</w:t>
            </w:r>
          </w:p>
        </w:tc>
        <w:tc>
          <w:tcPr>
            <w:tcW w:w="4858" w:type="dxa"/>
            <w:gridSpan w:val="3"/>
            <w:tcBorders>
              <w:top w:val="single" w:color="auto" w:sz="4" w:space="0"/>
              <w:left w:val="single" w:color="auto" w:sz="4" w:space="0"/>
              <w:bottom w:val="single" w:color="auto" w:sz="4" w:space="0"/>
              <w:right w:val="single" w:color="auto" w:sz="4" w:space="0"/>
            </w:tcBorders>
            <w:vAlign w:val="center"/>
          </w:tcPr>
          <w:p w14:paraId="17EC1D1E">
            <w:pPr>
              <w:adjustRightInd w:val="0"/>
              <w:snapToGrid w:val="0"/>
              <w:rPr>
                <w:rFonts w:ascii="仿宋_GB2312" w:hAnsi="仿宋_GB2312" w:eastAsia="仿宋_GB2312" w:cs="仿宋_GB2312"/>
                <w:b/>
                <w:bCs/>
                <w:szCs w:val="21"/>
              </w:rPr>
            </w:pPr>
            <w:r>
              <w:rPr>
                <w:rFonts w:hint="eastAsia" w:ascii="仿宋_GB2312" w:hAnsi="仿宋_GB2312" w:eastAsia="仿宋_GB2312" w:cs="仿宋_GB2312"/>
                <w:szCs w:val="21"/>
              </w:rPr>
              <w:t>联系电话：</w:t>
            </w:r>
          </w:p>
        </w:tc>
      </w:tr>
    </w:tbl>
    <w:p w14:paraId="4AFC1F8E">
      <w:pPr>
        <w:wordWrap w:val="0"/>
        <w:adjustRightInd w:val="0"/>
        <w:snapToGrid w:val="0"/>
        <w:spacing w:line="600" w:lineRule="exact"/>
        <w:jc w:val="right"/>
        <w:rPr>
          <w:rFonts w:eastAsia="仿宋_GB2312"/>
          <w:color w:val="000000"/>
          <w:sz w:val="28"/>
          <w:szCs w:val="28"/>
        </w:rPr>
      </w:pPr>
      <w:r>
        <w:rPr>
          <w:rFonts w:eastAsia="仿宋_GB2312"/>
          <w:color w:val="000000"/>
          <w:sz w:val="28"/>
          <w:szCs w:val="28"/>
        </w:rPr>
        <w:t xml:space="preserve">   </w:t>
      </w:r>
    </w:p>
    <w:p w14:paraId="12E2A8F4">
      <w:pPr>
        <w:widowControl/>
        <w:jc w:val="left"/>
        <w:rPr>
          <w:rFonts w:ascii="仿宋_GB2312" w:eastAsia="仿宋_GB2312"/>
          <w:color w:val="000000"/>
          <w:sz w:val="24"/>
        </w:rPr>
        <w:sectPr>
          <w:footerReference r:id="rId7" w:type="default"/>
          <w:type w:val="continuous"/>
          <w:pgSz w:w="11906" w:h="16838"/>
          <w:pgMar w:top="1440" w:right="1800" w:bottom="1440" w:left="1800" w:header="851" w:footer="992" w:gutter="0"/>
          <w:pgNumType w:fmt="numberInDash"/>
          <w:cols w:space="425" w:num="1"/>
          <w:docGrid w:type="lines" w:linePitch="312" w:charSpace="0"/>
        </w:sectPr>
      </w:pPr>
      <w:r>
        <w:rPr>
          <w:rFonts w:ascii="仿宋_GB2312" w:eastAsia="仿宋_GB2312"/>
          <w:color w:val="000000"/>
          <w:sz w:val="24"/>
        </w:rPr>
        <w:br w:type="page"/>
      </w:r>
    </w:p>
    <w:p w14:paraId="1977C8B3">
      <w:pPr>
        <w:pStyle w:val="33"/>
        <w:tabs>
          <w:tab w:val="left" w:pos="6720"/>
        </w:tabs>
        <w:spacing w:line="560" w:lineRule="exact"/>
        <w:ind w:firstLine="0" w:firstLineChars="0"/>
        <w:outlineLvl w:val="1"/>
        <w:rPr>
          <w:rFonts w:hint="eastAsia" w:ascii="黑体" w:hAnsi="黑体" w:eastAsia="黑体" w:cs="黑体"/>
          <w:b w:val="0"/>
          <w:bCs/>
          <w:sz w:val="32"/>
          <w:szCs w:val="32"/>
        </w:rPr>
      </w:pPr>
      <w:r>
        <w:rPr>
          <w:rFonts w:hint="eastAsia" w:ascii="黑体" w:hAnsi="黑体" w:eastAsia="黑体" w:cs="黑体"/>
          <w:b w:val="0"/>
          <w:bCs/>
          <w:sz w:val="32"/>
          <w:szCs w:val="32"/>
        </w:rPr>
        <w:t>附录7</w:t>
      </w:r>
    </w:p>
    <w:p w14:paraId="67E15ED6">
      <w:pPr>
        <w:keepNext w:val="0"/>
        <w:keepLines w:val="0"/>
        <w:pageBreakBefore w:val="0"/>
        <w:widowControl/>
        <w:numPr>
          <w:ilvl w:val="1"/>
          <w:numId w:val="0"/>
        </w:numPr>
        <w:kinsoku/>
        <w:wordWrap/>
        <w:overflowPunct/>
        <w:topLinePunct w:val="0"/>
        <w:autoSpaceDE/>
        <w:autoSpaceDN/>
        <w:bidi w:val="0"/>
        <w:spacing w:before="240" w:after="120" w:line="560" w:lineRule="exact"/>
        <w:jc w:val="center"/>
        <w:textAlignment w:val="auto"/>
        <w:rPr>
          <w:rFonts w:hint="eastAsia" w:ascii="方正小标宋_GBK" w:hAnsi="方正小标宋_GBK" w:eastAsia="方正小标宋_GBK" w:cs="方正小标宋_GBK"/>
          <w:sz w:val="44"/>
          <w:szCs w:val="44"/>
        </w:rPr>
      </w:pPr>
    </w:p>
    <w:p w14:paraId="3DDD4842">
      <w:pPr>
        <w:keepNext w:val="0"/>
        <w:keepLines w:val="0"/>
        <w:pageBreakBefore w:val="0"/>
        <w:widowControl/>
        <w:numPr>
          <w:ilvl w:val="1"/>
          <w:numId w:val="0"/>
        </w:numPr>
        <w:kinsoku/>
        <w:wordWrap/>
        <w:overflowPunct/>
        <w:topLinePunct w:val="0"/>
        <w:autoSpaceDE/>
        <w:autoSpaceDN/>
        <w:bidi w:val="0"/>
        <w:spacing w:before="240" w:after="120" w:line="560" w:lineRule="exact"/>
        <w:jc w:val="center"/>
        <w:textAlignment w:val="auto"/>
        <w:rPr>
          <w:rFonts w:ascii="仿宋_GB2312" w:hAnsi="仿宋_GB2312" w:eastAsia="仿宋_GB2312" w:cs="仿宋_GB2312"/>
          <w:sz w:val="32"/>
          <w:szCs w:val="32"/>
        </w:rPr>
      </w:pPr>
      <w:r>
        <w:rPr>
          <w:rFonts w:hint="eastAsia" w:ascii="方正小标宋_GBK" w:hAnsi="方正小标宋_GBK" w:eastAsia="方正小标宋_GBK" w:cs="方正小标宋_GBK"/>
          <w:sz w:val="44"/>
          <w:szCs w:val="44"/>
        </w:rPr>
        <w:t>虚拟电厂接入新型电力负荷管理系统相关技术要求</w:t>
      </w:r>
    </w:p>
    <w:p w14:paraId="45C8E7D8">
      <w:pPr>
        <w:keepNext w:val="0"/>
        <w:keepLines w:val="0"/>
        <w:pageBreakBefore w:val="0"/>
        <w:widowControl/>
        <w:numPr>
          <w:ilvl w:val="255"/>
          <w:numId w:val="0"/>
        </w:numPr>
        <w:kinsoku/>
        <w:wordWrap/>
        <w:overflowPunct/>
        <w:topLinePunct w:val="0"/>
        <w:autoSpaceDE/>
        <w:autoSpaceDN/>
        <w:bidi w:val="0"/>
        <w:adjustRightInd w:val="0"/>
        <w:snapToGrid w:val="0"/>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虚拟电厂</w:t>
      </w:r>
      <w:r>
        <w:rPr>
          <w:rFonts w:hint="eastAsia" w:ascii="仿宋_GB2312" w:hAnsi="仿宋_GB2312" w:eastAsia="仿宋_GB2312" w:cs="仿宋_GB2312"/>
          <w:sz w:val="32"/>
          <w:szCs w:val="32"/>
          <w:lang w:bidi="ar"/>
        </w:rPr>
        <w:t>参与响应服务</w:t>
      </w:r>
      <w:r>
        <w:rPr>
          <w:rFonts w:hint="eastAsia" w:ascii="仿宋_GB2312" w:hAnsi="仿宋_GB2312" w:eastAsia="仿宋_GB2312" w:cs="仿宋_GB2312"/>
          <w:sz w:val="32"/>
          <w:szCs w:val="32"/>
        </w:rPr>
        <w:t>，虚拟电厂运营商及聚合资源应符合</w:t>
      </w:r>
      <w:r>
        <w:rPr>
          <w:rFonts w:hint="eastAsia" w:ascii="仿宋_GB2312" w:hAnsi="仿宋_GB2312" w:eastAsia="仿宋_GB2312" w:cs="仿宋_GB2312"/>
          <w:sz w:val="32"/>
          <w:szCs w:val="32"/>
          <w:lang w:eastAsia="zh-CN"/>
        </w:rPr>
        <w:t>本办法</w:t>
      </w:r>
      <w:r>
        <w:rPr>
          <w:rFonts w:hint="eastAsia" w:ascii="仿宋_GB2312" w:hAnsi="仿宋_GB2312" w:eastAsia="仿宋_GB2312" w:cs="仿宋_GB2312"/>
          <w:sz w:val="32"/>
          <w:szCs w:val="32"/>
        </w:rPr>
        <w:t>准入条件要求，同时运营商技术支持系统满足系统功能要求、数据交互要求，包含但不限于调节容量、响应能力、数据接入、通信接口、系统安全防护、网络传输、计量采集等方面的规定。</w:t>
      </w:r>
    </w:p>
    <w:p w14:paraId="4812C79D">
      <w:pPr>
        <w:widowControl/>
        <w:numPr>
          <w:ilvl w:val="0"/>
          <w:numId w:val="13"/>
        </w:numPr>
        <w:adjustRightInd w:val="0"/>
        <w:snapToGrid w:val="0"/>
        <w:spacing w:line="560" w:lineRule="exact"/>
        <w:ind w:firstLine="640" w:firstLineChars="200"/>
        <w:jc w:val="left"/>
        <w:rPr>
          <w:rFonts w:ascii="黑体" w:hAnsi="黑体" w:eastAsia="黑体" w:cs="黑体"/>
          <w:sz w:val="32"/>
        </w:rPr>
      </w:pPr>
      <w:r>
        <w:rPr>
          <w:rFonts w:hint="eastAsia" w:ascii="黑体" w:hAnsi="黑体" w:eastAsia="黑体" w:cs="黑体"/>
          <w:sz w:val="32"/>
          <w:lang w:bidi="ar"/>
        </w:rPr>
        <w:t>调节能力要求</w:t>
      </w:r>
    </w:p>
    <w:p w14:paraId="3B0DEB9D">
      <w:pPr>
        <w:numPr>
          <w:ilvl w:val="0"/>
          <w:numId w:val="14"/>
        </w:numPr>
        <w:tabs>
          <w:tab w:val="left" w:pos="0"/>
        </w:tabs>
        <w:adjustRightInd w:val="0"/>
        <w:snapToGrid w:val="0"/>
        <w:spacing w:line="560" w:lineRule="exact"/>
        <w:ind w:firstLine="640" w:firstLineChars="200"/>
        <w:jc w:val="left"/>
        <w:rPr>
          <w:rFonts w:ascii="楷体_GB2312" w:hAnsi="楷体_GB2312" w:eastAsia="楷体_GB2312" w:cs="楷体_GB2312"/>
          <w:sz w:val="32"/>
        </w:rPr>
      </w:pPr>
      <w:r>
        <w:rPr>
          <w:rFonts w:hint="eastAsia" w:ascii="楷体_GB2312" w:hAnsi="楷体_GB2312" w:eastAsia="楷体_GB2312" w:cs="楷体_GB2312"/>
          <w:sz w:val="32"/>
        </w:rPr>
        <w:t>聚合对象</w:t>
      </w:r>
    </w:p>
    <w:p w14:paraId="6582FBBC">
      <w:pPr>
        <w:numPr>
          <w:ilvl w:val="255"/>
          <w:numId w:val="0"/>
        </w:numPr>
        <w:tabs>
          <w:tab w:val="left" w:pos="0"/>
        </w:tabs>
        <w:adjustRightInd w:val="0"/>
        <w:snapToGrid w:val="0"/>
        <w:spacing w:line="560"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虚拟</w:t>
      </w:r>
      <w:r>
        <w:rPr>
          <w:rFonts w:ascii="仿宋_GB2312" w:hAnsi="仿宋_GB2312" w:eastAsia="仿宋_GB2312" w:cs="仿宋_GB2312"/>
          <w:sz w:val="32"/>
          <w:szCs w:val="32"/>
        </w:rPr>
        <w:t>电厂</w:t>
      </w:r>
      <w:r>
        <w:rPr>
          <w:rFonts w:hint="eastAsia" w:ascii="仿宋_GB2312" w:hAnsi="仿宋_GB2312" w:eastAsia="仿宋_GB2312" w:cs="仿宋_GB2312"/>
          <w:sz w:val="32"/>
        </w:rPr>
        <w:t>聚合电力用户具备电力、电量数据分时计量与传输条件，具备实时监测条件，数据准确性与可靠性满足要求。</w:t>
      </w:r>
    </w:p>
    <w:p w14:paraId="216D3622">
      <w:pPr>
        <w:numPr>
          <w:ilvl w:val="0"/>
          <w:numId w:val="14"/>
        </w:numPr>
        <w:tabs>
          <w:tab w:val="left" w:pos="0"/>
        </w:tabs>
        <w:adjustRightInd w:val="0"/>
        <w:snapToGrid w:val="0"/>
        <w:spacing w:line="560" w:lineRule="exact"/>
        <w:ind w:firstLine="640" w:firstLineChars="200"/>
        <w:jc w:val="left"/>
        <w:rPr>
          <w:rFonts w:ascii="楷体_GB2312" w:hAnsi="楷体_GB2312" w:eastAsia="楷体_GB2312" w:cs="楷体_GB2312"/>
          <w:sz w:val="32"/>
        </w:rPr>
      </w:pPr>
      <w:r>
        <w:rPr>
          <w:rFonts w:hint="eastAsia" w:ascii="楷体_GB2312" w:hAnsi="楷体_GB2312" w:eastAsia="楷体_GB2312" w:cs="楷体_GB2312"/>
          <w:sz w:val="32"/>
        </w:rPr>
        <w:t>调节性能要求</w:t>
      </w:r>
    </w:p>
    <w:p w14:paraId="5B2D968F">
      <w:pPr>
        <w:numPr>
          <w:ilvl w:val="255"/>
          <w:numId w:val="0"/>
        </w:numPr>
        <w:tabs>
          <w:tab w:val="left" w:pos="0"/>
        </w:tabs>
        <w:adjustRightInd w:val="0"/>
        <w:snapToGrid w:val="0"/>
        <w:spacing w:line="560"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虚拟电厂应根据参与响应服务满足相应的调节性能要求，对应的具体性能指标及性能要求请见表1、表2。</w:t>
      </w:r>
    </w:p>
    <w:p w14:paraId="727DA50C">
      <w:pPr>
        <w:spacing w:line="560" w:lineRule="exact"/>
        <w:jc w:val="center"/>
        <w:rPr>
          <w:rFonts w:ascii="仿宋_GB2312" w:hAnsi="仿宋_GB2312" w:eastAsia="仿宋_GB2312" w:cs="仿宋_GB2312"/>
          <w:sz w:val="20"/>
        </w:rPr>
      </w:pPr>
      <w:r>
        <w:rPr>
          <w:rFonts w:hint="eastAsia" w:ascii="仿宋_GB2312" w:hAnsi="仿宋_GB2312" w:eastAsia="仿宋_GB2312" w:cs="仿宋_GB2312"/>
          <w:sz w:val="20"/>
        </w:rPr>
        <w:t>表1 参与备用服务的虚拟电厂调节性能准入要求</w:t>
      </w:r>
    </w:p>
    <w:tbl>
      <w:tblPr>
        <w:tblStyle w:val="20"/>
        <w:tblW w:w="4998" w:type="pct"/>
        <w:tblInd w:w="0" w:type="dxa"/>
        <w:tblLayout w:type="autofit"/>
        <w:tblCellMar>
          <w:top w:w="0" w:type="dxa"/>
          <w:left w:w="108" w:type="dxa"/>
          <w:bottom w:w="0" w:type="dxa"/>
          <w:right w:w="108" w:type="dxa"/>
        </w:tblCellMar>
      </w:tblPr>
      <w:tblGrid>
        <w:gridCol w:w="1048"/>
        <w:gridCol w:w="1377"/>
        <w:gridCol w:w="6094"/>
      </w:tblGrid>
      <w:tr w14:paraId="4EC8E3C3">
        <w:tblPrEx>
          <w:tblCellMar>
            <w:top w:w="0" w:type="dxa"/>
            <w:left w:w="108" w:type="dxa"/>
            <w:bottom w:w="0" w:type="dxa"/>
            <w:right w:w="108" w:type="dxa"/>
          </w:tblCellMar>
        </w:tblPrEx>
        <w:trPr>
          <w:trHeight w:val="680" w:hRule="atLeast"/>
        </w:trPr>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A700E">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响应服务品种</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A6164">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调节性能</w:t>
            </w:r>
          </w:p>
        </w:tc>
        <w:tc>
          <w:tcPr>
            <w:tcW w:w="3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24DA6">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性能要求</w:t>
            </w:r>
          </w:p>
        </w:tc>
      </w:tr>
      <w:tr w14:paraId="2AFAB5CA">
        <w:tblPrEx>
          <w:tblCellMar>
            <w:top w:w="0" w:type="dxa"/>
            <w:left w:w="108" w:type="dxa"/>
            <w:bottom w:w="0" w:type="dxa"/>
            <w:right w:w="108" w:type="dxa"/>
          </w:tblCellMar>
        </w:tblPrEx>
        <w:trPr>
          <w:trHeight w:val="810" w:hRule="atLeast"/>
        </w:trPr>
        <w:tc>
          <w:tcPr>
            <w:tcW w:w="6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347AB">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sz w:val="22"/>
              </w:rPr>
              <w:t>备用</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C0F1C">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调节能力</w:t>
            </w:r>
          </w:p>
        </w:tc>
        <w:tc>
          <w:tcPr>
            <w:tcW w:w="3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B93F5">
            <w:pPr>
              <w:widowControl/>
              <w:adjustRightInd w:val="0"/>
              <w:snapToGrid w:val="0"/>
              <w:jc w:val="left"/>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调节能力不小于1兆瓦。</w:t>
            </w:r>
          </w:p>
        </w:tc>
      </w:tr>
      <w:tr w14:paraId="032D496F">
        <w:tblPrEx>
          <w:tblCellMar>
            <w:top w:w="0" w:type="dxa"/>
            <w:left w:w="108" w:type="dxa"/>
            <w:bottom w:w="0" w:type="dxa"/>
            <w:right w:w="108" w:type="dxa"/>
          </w:tblCellMar>
        </w:tblPrEx>
        <w:trPr>
          <w:trHeight w:val="624"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6FD08">
            <w:pPr>
              <w:adjustRightInd w:val="0"/>
              <w:snapToGrid w:val="0"/>
              <w:spacing w:line="560" w:lineRule="exact"/>
              <w:ind w:firstLine="440" w:firstLineChars="200"/>
              <w:jc w:val="center"/>
              <w:rPr>
                <w:rFonts w:ascii="仿宋_GB2312" w:hAnsi="仿宋_GB2312" w:eastAsia="仿宋_GB2312" w:cs="仿宋_GB2312"/>
                <w:sz w:val="22"/>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793FC">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响应持续时间</w:t>
            </w:r>
          </w:p>
        </w:tc>
        <w:tc>
          <w:tcPr>
            <w:tcW w:w="3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AFFB9">
            <w:pPr>
              <w:widowControl/>
              <w:adjustRightInd w:val="0"/>
              <w:snapToGrid w:val="0"/>
              <w:jc w:val="left"/>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不低于30分钟。</w:t>
            </w:r>
          </w:p>
        </w:tc>
      </w:tr>
      <w:tr w14:paraId="261A81EE">
        <w:tblPrEx>
          <w:tblCellMar>
            <w:top w:w="0" w:type="dxa"/>
            <w:left w:w="108" w:type="dxa"/>
            <w:bottom w:w="0" w:type="dxa"/>
            <w:right w:w="108" w:type="dxa"/>
          </w:tblCellMar>
        </w:tblPrEx>
        <w:trPr>
          <w:trHeight w:val="810"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7B4D3">
            <w:pPr>
              <w:adjustRightInd w:val="0"/>
              <w:snapToGrid w:val="0"/>
              <w:spacing w:line="560" w:lineRule="exact"/>
              <w:ind w:firstLine="440" w:firstLineChars="200"/>
              <w:jc w:val="center"/>
              <w:rPr>
                <w:rFonts w:ascii="仿宋_GB2312" w:hAnsi="仿宋_GB2312" w:eastAsia="仿宋_GB2312" w:cs="仿宋_GB2312"/>
                <w:sz w:val="22"/>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A8D36">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响应时间</w:t>
            </w:r>
          </w:p>
        </w:tc>
        <w:tc>
          <w:tcPr>
            <w:tcW w:w="3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7BCF2">
            <w:pPr>
              <w:widowControl/>
              <w:adjustRightInd w:val="0"/>
              <w:snapToGrid w:val="0"/>
              <w:jc w:val="left"/>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虚拟电厂响应时间应不大于5分钟。</w:t>
            </w:r>
          </w:p>
        </w:tc>
      </w:tr>
      <w:tr w14:paraId="64079BC9">
        <w:tblPrEx>
          <w:tblCellMar>
            <w:top w:w="0" w:type="dxa"/>
            <w:left w:w="108" w:type="dxa"/>
            <w:bottom w:w="0" w:type="dxa"/>
            <w:right w:w="108" w:type="dxa"/>
          </w:tblCellMar>
        </w:tblPrEx>
        <w:trPr>
          <w:trHeight w:val="624" w:hRule="atLeast"/>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D6F00">
            <w:pPr>
              <w:adjustRightInd w:val="0"/>
              <w:snapToGrid w:val="0"/>
              <w:spacing w:line="560" w:lineRule="exact"/>
              <w:ind w:firstLine="440" w:firstLineChars="200"/>
              <w:jc w:val="center"/>
              <w:rPr>
                <w:rFonts w:ascii="仿宋_GB2312" w:hAnsi="仿宋_GB2312" w:eastAsia="仿宋_GB2312" w:cs="仿宋_GB2312"/>
                <w:sz w:val="22"/>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813E1">
            <w:pPr>
              <w:widowControl/>
              <w:adjustRightInd w:val="0"/>
              <w:snapToGrid w:val="0"/>
              <w:jc w:val="center"/>
              <w:textAlignment w:val="center"/>
              <w:rPr>
                <w:rFonts w:ascii="仿宋_GB2312" w:hAnsi="仿宋_GB2312" w:eastAsia="仿宋_GB2312" w:cs="仿宋_GB2312"/>
                <w:kern w:val="0"/>
                <w:sz w:val="22"/>
                <w:lang w:bidi="ar"/>
              </w:rPr>
            </w:pPr>
            <w:r>
              <w:rPr>
                <w:rFonts w:hint="eastAsia" w:ascii="仿宋_GB2312" w:hAnsi="仿宋_GB2312" w:eastAsia="仿宋_GB2312" w:cs="仿宋_GB2312"/>
                <w:kern w:val="0"/>
                <w:sz w:val="22"/>
                <w:lang w:bidi="ar"/>
              </w:rPr>
              <w:t>调节方向</w:t>
            </w:r>
          </w:p>
        </w:tc>
        <w:tc>
          <w:tcPr>
            <w:tcW w:w="3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9E99B">
            <w:pPr>
              <w:widowControl/>
              <w:adjustRightInd w:val="0"/>
              <w:snapToGrid w:val="0"/>
              <w:jc w:val="left"/>
              <w:textAlignment w:val="center"/>
              <w:rPr>
                <w:rFonts w:ascii="仿宋_GB2312" w:hAnsi="仿宋_GB2312" w:eastAsia="仿宋_GB2312" w:cs="仿宋_GB2312"/>
                <w:kern w:val="0"/>
                <w:sz w:val="22"/>
                <w:lang w:bidi="ar"/>
              </w:rPr>
            </w:pPr>
            <w:r>
              <w:rPr>
                <w:rFonts w:hint="eastAsia" w:ascii="仿宋_GB2312" w:hAnsi="仿宋_GB2312" w:eastAsia="仿宋_GB2312" w:cs="仿宋_GB2312"/>
                <w:kern w:val="0"/>
                <w:sz w:val="22"/>
                <w:lang w:bidi="ar"/>
              </w:rPr>
              <w:t>虚拟电厂调节出力应与指令调节方向一致。</w:t>
            </w:r>
          </w:p>
        </w:tc>
      </w:tr>
      <w:tr w14:paraId="5CCF6884">
        <w:tblPrEx>
          <w:tblCellMar>
            <w:top w:w="0" w:type="dxa"/>
            <w:left w:w="108" w:type="dxa"/>
            <w:bottom w:w="0" w:type="dxa"/>
            <w:right w:w="108" w:type="dxa"/>
          </w:tblCellMar>
        </w:tblPrEx>
        <w:trPr>
          <w:trHeight w:val="624" w:hRule="atLeast"/>
        </w:trPr>
        <w:tc>
          <w:tcPr>
            <w:tcW w:w="615"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D117547">
            <w:pPr>
              <w:adjustRightInd w:val="0"/>
              <w:snapToGrid w:val="0"/>
              <w:spacing w:line="560" w:lineRule="exact"/>
              <w:ind w:firstLine="440" w:firstLineChars="200"/>
              <w:jc w:val="center"/>
              <w:rPr>
                <w:rFonts w:ascii="仿宋_GB2312" w:hAnsi="仿宋_GB2312" w:eastAsia="仿宋_GB2312" w:cs="仿宋_GB2312"/>
                <w:sz w:val="22"/>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D183">
            <w:pPr>
              <w:widowControl/>
              <w:adjustRightInd w:val="0"/>
              <w:snapToGrid w:val="0"/>
              <w:jc w:val="center"/>
              <w:textAlignment w:val="center"/>
              <w:rPr>
                <w:rFonts w:ascii="仿宋_GB2312" w:hAnsi="仿宋_GB2312" w:eastAsia="仿宋_GB2312" w:cs="仿宋_GB2312"/>
                <w:kern w:val="0"/>
                <w:sz w:val="22"/>
                <w:lang w:bidi="ar"/>
              </w:rPr>
            </w:pPr>
            <w:r>
              <w:rPr>
                <w:rFonts w:hint="eastAsia" w:ascii="仿宋_GB2312" w:hAnsi="仿宋_GB2312" w:eastAsia="仿宋_GB2312" w:cs="仿宋_GB2312"/>
                <w:kern w:val="0"/>
                <w:sz w:val="22"/>
                <w:lang w:bidi="ar"/>
              </w:rPr>
              <w:t>调节精度</w:t>
            </w:r>
          </w:p>
        </w:tc>
        <w:tc>
          <w:tcPr>
            <w:tcW w:w="3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1FE07">
            <w:pPr>
              <w:widowControl/>
              <w:adjustRightInd w:val="0"/>
              <w:snapToGrid w:val="0"/>
              <w:jc w:val="left"/>
              <w:textAlignment w:val="center"/>
              <w:rPr>
                <w:rFonts w:ascii="仿宋_GB2312" w:hAnsi="仿宋_GB2312" w:eastAsia="仿宋_GB2312" w:cs="仿宋_GB2312"/>
                <w:kern w:val="0"/>
                <w:sz w:val="22"/>
                <w:lang w:bidi="ar"/>
              </w:rPr>
            </w:pPr>
            <w:r>
              <w:rPr>
                <w:rFonts w:hint="eastAsia" w:ascii="仿宋_GB2312" w:hAnsi="仿宋_GB2312" w:eastAsia="仿宋_GB2312" w:cs="仿宋_GB2312"/>
                <w:kern w:val="0"/>
                <w:sz w:val="22"/>
                <w:lang w:bidi="ar"/>
              </w:rPr>
              <w:t>以15分钟作为一个评估时段，当实际响应容量大于或等于备用容量的80%时，认定该基本评估时段有效响应；当有效响应时段占总被调用时段的比例大于等于75%时，认定响应主体有效完成响应任务，按实际响应量计算有效响应容量。</w:t>
            </w:r>
          </w:p>
        </w:tc>
      </w:tr>
    </w:tbl>
    <w:p w14:paraId="57F21706">
      <w:pPr>
        <w:spacing w:line="560" w:lineRule="exact"/>
        <w:jc w:val="center"/>
        <w:rPr>
          <w:rFonts w:ascii="仿宋_GB2312" w:hAnsi="仿宋_GB2312" w:eastAsia="仿宋_GB2312" w:cs="仿宋_GB2312"/>
          <w:sz w:val="20"/>
        </w:rPr>
      </w:pPr>
      <w:r>
        <w:rPr>
          <w:rFonts w:hint="eastAsia" w:ascii="仿宋_GB2312" w:hAnsi="仿宋_GB2312" w:eastAsia="仿宋_GB2312" w:cs="仿宋_GB2312"/>
          <w:sz w:val="20"/>
        </w:rPr>
        <w:t>表2 参与有功响应/无功调节的虚拟电厂调节性能准入要求</w:t>
      </w:r>
    </w:p>
    <w:tbl>
      <w:tblPr>
        <w:tblStyle w:val="20"/>
        <w:tblW w:w="4998" w:type="pct"/>
        <w:tblInd w:w="0" w:type="dxa"/>
        <w:tblLayout w:type="autofit"/>
        <w:tblCellMar>
          <w:top w:w="0" w:type="dxa"/>
          <w:left w:w="108" w:type="dxa"/>
          <w:bottom w:w="0" w:type="dxa"/>
          <w:right w:w="108" w:type="dxa"/>
        </w:tblCellMar>
      </w:tblPr>
      <w:tblGrid>
        <w:gridCol w:w="1203"/>
        <w:gridCol w:w="1309"/>
        <w:gridCol w:w="6007"/>
      </w:tblGrid>
      <w:tr w14:paraId="599F7972">
        <w:tblPrEx>
          <w:tblCellMar>
            <w:top w:w="0" w:type="dxa"/>
            <w:left w:w="108" w:type="dxa"/>
            <w:bottom w:w="0" w:type="dxa"/>
            <w:right w:w="108" w:type="dxa"/>
          </w:tblCellMar>
        </w:tblPrEx>
        <w:trPr>
          <w:trHeight w:val="680" w:hRule="atLeast"/>
        </w:trPr>
        <w:tc>
          <w:tcPr>
            <w:tcW w:w="706" w:type="pct"/>
            <w:tcBorders>
              <w:top w:val="single" w:color="auto" w:sz="4" w:space="0"/>
              <w:left w:val="single" w:color="auto" w:sz="4" w:space="0"/>
              <w:bottom w:val="single" w:color="auto" w:sz="4" w:space="0"/>
              <w:right w:val="single" w:color="auto" w:sz="4" w:space="0"/>
            </w:tcBorders>
            <w:shd w:val="clear" w:color="auto" w:fill="auto"/>
            <w:vAlign w:val="center"/>
          </w:tcPr>
          <w:p w14:paraId="16247E04">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响应服务品种</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14:paraId="345E89FD">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调节性能</w:t>
            </w:r>
          </w:p>
        </w:tc>
        <w:tc>
          <w:tcPr>
            <w:tcW w:w="3524" w:type="pct"/>
            <w:tcBorders>
              <w:top w:val="single" w:color="auto" w:sz="4" w:space="0"/>
              <w:left w:val="single" w:color="auto" w:sz="4" w:space="0"/>
              <w:bottom w:val="single" w:color="auto" w:sz="4" w:space="0"/>
              <w:right w:val="single" w:color="auto" w:sz="4" w:space="0"/>
            </w:tcBorders>
            <w:shd w:val="clear" w:color="auto" w:fill="auto"/>
            <w:vAlign w:val="center"/>
          </w:tcPr>
          <w:p w14:paraId="57C8F5D1">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kern w:val="0"/>
                <w:sz w:val="22"/>
                <w:lang w:bidi="ar"/>
              </w:rPr>
              <w:t>性能要求</w:t>
            </w:r>
          </w:p>
        </w:tc>
      </w:tr>
      <w:tr w14:paraId="450BC845">
        <w:tblPrEx>
          <w:tblCellMar>
            <w:top w:w="0" w:type="dxa"/>
            <w:left w:w="108" w:type="dxa"/>
            <w:bottom w:w="0" w:type="dxa"/>
            <w:right w:w="108" w:type="dxa"/>
          </w:tblCellMar>
        </w:tblPrEx>
        <w:trPr>
          <w:trHeight w:val="624" w:hRule="atLeast"/>
        </w:trPr>
        <w:tc>
          <w:tcPr>
            <w:tcW w:w="7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D0D272">
            <w:pPr>
              <w:widowControl/>
              <w:adjustRightInd w:val="0"/>
              <w:snapToGrid w:val="0"/>
              <w:jc w:val="center"/>
              <w:textAlignment w:val="center"/>
              <w:rPr>
                <w:rFonts w:ascii="仿宋_GB2312" w:hAnsi="仿宋_GB2312" w:eastAsia="仿宋_GB2312" w:cs="仿宋_GB2312"/>
                <w:sz w:val="22"/>
              </w:rPr>
            </w:pPr>
            <w:r>
              <w:rPr>
                <w:rFonts w:hint="eastAsia" w:ascii="仿宋_GB2312" w:hAnsi="仿宋_GB2312" w:eastAsia="仿宋_GB2312" w:cs="仿宋_GB2312"/>
                <w:sz w:val="22"/>
              </w:rPr>
              <w:t>有功响应/无功调节</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14:paraId="5BC6F558">
            <w:pPr>
              <w:widowControl/>
              <w:adjustRightInd w:val="0"/>
              <w:snapToGrid w:val="0"/>
              <w:jc w:val="center"/>
              <w:textAlignment w:val="center"/>
              <w:rPr>
                <w:rFonts w:ascii="仿宋_GB2312" w:hAnsi="仿宋_GB2312" w:eastAsia="仿宋_GB2312" w:cs="仿宋_GB2312"/>
                <w:sz w:val="22"/>
                <w:lang w:bidi="ar"/>
              </w:rPr>
            </w:pPr>
            <w:r>
              <w:rPr>
                <w:rFonts w:hint="eastAsia" w:ascii="仿宋_GB2312" w:hAnsi="仿宋_GB2312" w:eastAsia="仿宋_GB2312" w:cs="仿宋_GB2312"/>
                <w:sz w:val="22"/>
                <w:lang w:bidi="ar"/>
              </w:rPr>
              <w:t>调节能力</w:t>
            </w:r>
          </w:p>
        </w:tc>
        <w:tc>
          <w:tcPr>
            <w:tcW w:w="3524" w:type="pct"/>
            <w:tcBorders>
              <w:top w:val="single" w:color="auto" w:sz="4" w:space="0"/>
              <w:left w:val="single" w:color="auto" w:sz="4" w:space="0"/>
              <w:bottom w:val="single" w:color="auto" w:sz="4" w:space="0"/>
              <w:right w:val="single" w:color="auto" w:sz="4" w:space="0"/>
            </w:tcBorders>
            <w:shd w:val="clear" w:color="auto" w:fill="auto"/>
            <w:vAlign w:val="center"/>
          </w:tcPr>
          <w:p w14:paraId="3E954F94">
            <w:pPr>
              <w:widowControl/>
              <w:adjustRightInd w:val="0"/>
              <w:snapToGrid w:val="0"/>
              <w:jc w:val="left"/>
              <w:textAlignment w:val="center"/>
              <w:rPr>
                <w:rFonts w:ascii="仿宋_GB2312" w:hAnsi="仿宋_GB2312" w:eastAsia="仿宋_GB2312" w:cs="仿宋_GB2312"/>
                <w:sz w:val="22"/>
                <w:lang w:bidi="ar"/>
              </w:rPr>
            </w:pPr>
            <w:r>
              <w:rPr>
                <w:rFonts w:hint="eastAsia" w:ascii="仿宋_GB2312" w:hAnsi="仿宋_GB2312" w:eastAsia="仿宋_GB2312" w:cs="仿宋_GB2312"/>
                <w:sz w:val="22"/>
                <w:lang w:bidi="ar"/>
              </w:rPr>
              <w:t>调节能力不小于1兆瓦。</w:t>
            </w:r>
          </w:p>
        </w:tc>
      </w:tr>
      <w:tr w14:paraId="3381B4BF">
        <w:tblPrEx>
          <w:tblCellMar>
            <w:top w:w="0" w:type="dxa"/>
            <w:left w:w="108" w:type="dxa"/>
            <w:bottom w:w="0" w:type="dxa"/>
            <w:right w:w="108" w:type="dxa"/>
          </w:tblCellMar>
        </w:tblPrEx>
        <w:trPr>
          <w:trHeight w:val="624" w:hRule="atLeast"/>
        </w:trPr>
        <w:tc>
          <w:tcPr>
            <w:tcW w:w="7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1C6106">
            <w:pPr>
              <w:adjustRightInd w:val="0"/>
              <w:snapToGrid w:val="0"/>
              <w:spacing w:line="560" w:lineRule="exact"/>
              <w:ind w:firstLine="440" w:firstLineChars="200"/>
              <w:jc w:val="center"/>
              <w:rPr>
                <w:rFonts w:ascii="仿宋_GB2312" w:hAnsi="仿宋_GB2312" w:eastAsia="仿宋_GB2312" w:cs="仿宋_GB2312"/>
                <w:sz w:val="22"/>
              </w:rPr>
            </w:pP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14:paraId="39D8B239">
            <w:pPr>
              <w:widowControl/>
              <w:adjustRightInd w:val="0"/>
              <w:snapToGrid w:val="0"/>
              <w:jc w:val="center"/>
              <w:textAlignment w:val="center"/>
              <w:rPr>
                <w:rFonts w:ascii="仿宋_GB2312" w:hAnsi="仿宋_GB2312" w:eastAsia="仿宋_GB2312" w:cs="仿宋_GB2312"/>
                <w:sz w:val="22"/>
                <w:lang w:bidi="ar"/>
              </w:rPr>
            </w:pPr>
            <w:r>
              <w:rPr>
                <w:rFonts w:hint="eastAsia" w:ascii="仿宋_GB2312" w:hAnsi="仿宋_GB2312" w:eastAsia="仿宋_GB2312" w:cs="仿宋_GB2312"/>
                <w:kern w:val="0"/>
                <w:sz w:val="22"/>
                <w:lang w:bidi="ar"/>
              </w:rPr>
              <w:t>响应持续时间</w:t>
            </w:r>
          </w:p>
        </w:tc>
        <w:tc>
          <w:tcPr>
            <w:tcW w:w="3524" w:type="pct"/>
            <w:tcBorders>
              <w:top w:val="single" w:color="auto" w:sz="4" w:space="0"/>
              <w:left w:val="single" w:color="auto" w:sz="4" w:space="0"/>
              <w:bottom w:val="single" w:color="auto" w:sz="4" w:space="0"/>
              <w:right w:val="single" w:color="auto" w:sz="4" w:space="0"/>
            </w:tcBorders>
            <w:shd w:val="clear" w:color="auto" w:fill="auto"/>
            <w:vAlign w:val="center"/>
          </w:tcPr>
          <w:p w14:paraId="2DE1777B">
            <w:pPr>
              <w:widowControl/>
              <w:adjustRightInd w:val="0"/>
              <w:snapToGrid w:val="0"/>
              <w:jc w:val="left"/>
              <w:textAlignment w:val="center"/>
              <w:rPr>
                <w:rFonts w:ascii="仿宋_GB2312" w:hAnsi="仿宋_GB2312" w:eastAsia="仿宋_GB2312" w:cs="仿宋_GB2312"/>
                <w:sz w:val="22"/>
                <w:lang w:bidi="ar"/>
              </w:rPr>
            </w:pPr>
            <w:r>
              <w:rPr>
                <w:rFonts w:hint="eastAsia" w:ascii="仿宋_GB2312" w:hAnsi="仿宋_GB2312" w:eastAsia="仿宋_GB2312" w:cs="仿宋_GB2312"/>
                <w:sz w:val="22"/>
                <w:lang w:bidi="ar"/>
              </w:rPr>
              <w:t>单次不低于30分钟。</w:t>
            </w:r>
          </w:p>
        </w:tc>
      </w:tr>
      <w:tr w14:paraId="0A34F175">
        <w:tblPrEx>
          <w:tblCellMar>
            <w:top w:w="0" w:type="dxa"/>
            <w:left w:w="108" w:type="dxa"/>
            <w:bottom w:w="0" w:type="dxa"/>
            <w:right w:w="108" w:type="dxa"/>
          </w:tblCellMar>
        </w:tblPrEx>
        <w:trPr>
          <w:trHeight w:val="779" w:hRule="atLeast"/>
        </w:trPr>
        <w:tc>
          <w:tcPr>
            <w:tcW w:w="7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D9EBEF">
            <w:pPr>
              <w:adjustRightInd w:val="0"/>
              <w:snapToGrid w:val="0"/>
              <w:spacing w:line="560" w:lineRule="exact"/>
              <w:ind w:firstLine="440" w:firstLineChars="200"/>
              <w:jc w:val="center"/>
              <w:rPr>
                <w:rFonts w:ascii="仿宋_GB2312" w:hAnsi="仿宋_GB2312" w:eastAsia="仿宋_GB2312" w:cs="仿宋_GB2312"/>
                <w:sz w:val="22"/>
              </w:rPr>
            </w:pP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14:paraId="737FE6DA">
            <w:pPr>
              <w:widowControl/>
              <w:adjustRightInd w:val="0"/>
              <w:snapToGrid w:val="0"/>
              <w:jc w:val="center"/>
              <w:textAlignment w:val="center"/>
              <w:rPr>
                <w:rFonts w:ascii="仿宋_GB2312" w:hAnsi="仿宋_GB2312" w:eastAsia="仿宋_GB2312" w:cs="仿宋_GB2312"/>
                <w:sz w:val="22"/>
                <w:lang w:bidi="ar"/>
              </w:rPr>
            </w:pPr>
            <w:r>
              <w:rPr>
                <w:rFonts w:hint="eastAsia" w:ascii="仿宋_GB2312" w:hAnsi="仿宋_GB2312" w:eastAsia="仿宋_GB2312" w:cs="仿宋_GB2312"/>
                <w:sz w:val="22"/>
                <w:lang w:bidi="ar"/>
              </w:rPr>
              <w:t>响应时间</w:t>
            </w:r>
          </w:p>
        </w:tc>
        <w:tc>
          <w:tcPr>
            <w:tcW w:w="3524" w:type="pct"/>
            <w:tcBorders>
              <w:top w:val="single" w:color="auto" w:sz="4" w:space="0"/>
              <w:left w:val="single" w:color="auto" w:sz="4" w:space="0"/>
              <w:bottom w:val="single" w:color="auto" w:sz="4" w:space="0"/>
              <w:right w:val="single" w:color="auto" w:sz="4" w:space="0"/>
            </w:tcBorders>
            <w:shd w:val="clear" w:color="auto" w:fill="auto"/>
            <w:vAlign w:val="center"/>
          </w:tcPr>
          <w:p w14:paraId="0C31B6B8">
            <w:pPr>
              <w:widowControl/>
              <w:adjustRightInd w:val="0"/>
              <w:snapToGrid w:val="0"/>
              <w:jc w:val="left"/>
              <w:textAlignment w:val="center"/>
              <w:rPr>
                <w:rFonts w:ascii="仿宋_GB2312" w:hAnsi="仿宋_GB2312" w:eastAsia="仿宋_GB2312" w:cs="仿宋_GB2312"/>
                <w:sz w:val="22"/>
                <w:lang w:bidi="ar"/>
              </w:rPr>
            </w:pPr>
            <w:r>
              <w:rPr>
                <w:rFonts w:hint="eastAsia" w:ascii="仿宋_GB2312" w:hAnsi="仿宋_GB2312" w:eastAsia="仿宋_GB2312" w:cs="仿宋_GB2312"/>
                <w:sz w:val="22"/>
                <w:lang w:bidi="ar"/>
              </w:rPr>
              <w:t>日前型虚拟电厂响应时间应不大于24小时；</w:t>
            </w:r>
            <w:r>
              <w:rPr>
                <w:rFonts w:hint="eastAsia" w:ascii="仿宋_GB2312" w:hAnsi="仿宋_GB2312" w:eastAsia="仿宋_GB2312" w:cs="仿宋_GB2312"/>
                <w:sz w:val="22"/>
                <w:lang w:bidi="ar"/>
              </w:rPr>
              <w:br w:type="textWrapping"/>
            </w:r>
            <w:r>
              <w:rPr>
                <w:rFonts w:hint="eastAsia" w:ascii="仿宋_GB2312" w:hAnsi="仿宋_GB2312" w:eastAsia="仿宋_GB2312" w:cs="仿宋_GB2312"/>
                <w:sz w:val="22"/>
                <w:lang w:bidi="ar"/>
              </w:rPr>
              <w:t>实时响应型虚拟电厂响应时间应不大于2小时。</w:t>
            </w:r>
          </w:p>
        </w:tc>
      </w:tr>
      <w:tr w14:paraId="0CF3B2E1">
        <w:tblPrEx>
          <w:tblCellMar>
            <w:top w:w="0" w:type="dxa"/>
            <w:left w:w="108" w:type="dxa"/>
            <w:bottom w:w="0" w:type="dxa"/>
            <w:right w:w="108" w:type="dxa"/>
          </w:tblCellMar>
        </w:tblPrEx>
        <w:trPr>
          <w:trHeight w:val="624" w:hRule="atLeast"/>
        </w:trPr>
        <w:tc>
          <w:tcPr>
            <w:tcW w:w="7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4ADDBD">
            <w:pPr>
              <w:adjustRightInd w:val="0"/>
              <w:snapToGrid w:val="0"/>
              <w:spacing w:line="560" w:lineRule="exact"/>
              <w:ind w:firstLine="440" w:firstLineChars="200"/>
              <w:jc w:val="center"/>
              <w:rPr>
                <w:rFonts w:ascii="仿宋_GB2312" w:hAnsi="仿宋_GB2312" w:eastAsia="仿宋_GB2312" w:cs="仿宋_GB2312"/>
                <w:sz w:val="22"/>
              </w:rPr>
            </w:pP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14:paraId="45471E6F">
            <w:pPr>
              <w:widowControl/>
              <w:adjustRightInd w:val="0"/>
              <w:snapToGrid w:val="0"/>
              <w:jc w:val="center"/>
              <w:textAlignment w:val="center"/>
              <w:rPr>
                <w:rFonts w:ascii="仿宋_GB2312" w:hAnsi="仿宋_GB2312" w:eastAsia="仿宋_GB2312" w:cs="仿宋_GB2312"/>
                <w:sz w:val="22"/>
                <w:lang w:bidi="ar"/>
              </w:rPr>
            </w:pPr>
            <w:r>
              <w:rPr>
                <w:rFonts w:hint="eastAsia" w:ascii="仿宋_GB2312" w:hAnsi="仿宋_GB2312" w:eastAsia="仿宋_GB2312" w:cs="仿宋_GB2312"/>
                <w:sz w:val="22"/>
                <w:lang w:bidi="ar"/>
              </w:rPr>
              <w:t>调节方向</w:t>
            </w:r>
          </w:p>
        </w:tc>
        <w:tc>
          <w:tcPr>
            <w:tcW w:w="3524" w:type="pct"/>
            <w:tcBorders>
              <w:top w:val="single" w:color="auto" w:sz="4" w:space="0"/>
              <w:left w:val="single" w:color="auto" w:sz="4" w:space="0"/>
              <w:bottom w:val="single" w:color="auto" w:sz="4" w:space="0"/>
              <w:right w:val="single" w:color="auto" w:sz="4" w:space="0"/>
            </w:tcBorders>
            <w:shd w:val="clear" w:color="auto" w:fill="auto"/>
            <w:vAlign w:val="center"/>
          </w:tcPr>
          <w:p w14:paraId="65E875F2">
            <w:pPr>
              <w:widowControl/>
              <w:adjustRightInd w:val="0"/>
              <w:snapToGrid w:val="0"/>
              <w:jc w:val="left"/>
              <w:textAlignment w:val="center"/>
              <w:rPr>
                <w:rFonts w:ascii="仿宋_GB2312" w:hAnsi="仿宋_GB2312" w:eastAsia="仿宋_GB2312" w:cs="仿宋_GB2312"/>
                <w:sz w:val="22"/>
                <w:lang w:bidi="ar"/>
              </w:rPr>
            </w:pPr>
            <w:r>
              <w:rPr>
                <w:rFonts w:hint="eastAsia" w:ascii="仿宋_GB2312" w:hAnsi="仿宋_GB2312" w:eastAsia="仿宋_GB2312" w:cs="仿宋_GB2312"/>
                <w:sz w:val="22"/>
                <w:lang w:bidi="ar"/>
              </w:rPr>
              <w:t>虚拟电厂调节出力应与指令调节方向一致。</w:t>
            </w:r>
          </w:p>
        </w:tc>
      </w:tr>
    </w:tbl>
    <w:p w14:paraId="3A0AE11A">
      <w:pPr>
        <w:widowControl/>
        <w:adjustRightInd w:val="0"/>
        <w:snapToGrid w:val="0"/>
        <w:spacing w:line="560" w:lineRule="exact"/>
        <w:ind w:firstLine="640" w:firstLineChars="200"/>
        <w:jc w:val="left"/>
        <w:rPr>
          <w:rFonts w:ascii="黑体" w:hAnsi="黑体" w:eastAsia="黑体" w:cs="黑体"/>
          <w:sz w:val="32"/>
          <w:lang w:bidi="ar"/>
        </w:rPr>
      </w:pPr>
      <w:r>
        <w:rPr>
          <w:rFonts w:hint="eastAsia" w:ascii="黑体" w:hAnsi="黑体" w:eastAsia="黑体" w:cs="黑体"/>
          <w:sz w:val="32"/>
          <w:lang w:bidi="ar"/>
        </w:rPr>
        <w:t>二、系统功能要求</w:t>
      </w:r>
    </w:p>
    <w:p w14:paraId="7EA613EA">
      <w:pPr>
        <w:widowControl/>
        <w:numPr>
          <w:ilvl w:val="255"/>
          <w:numId w:val="0"/>
        </w:numPr>
        <w:tabs>
          <w:tab w:val="left" w:pos="0"/>
        </w:tabs>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虚拟电厂运营商应拥有具备信息处理、运行监控、业务管理、计量监管、控制执行等功能的软硬件系统，接入虚拟电厂管理平台，具备可靠监测、预测、接收指令分解执行等信息交互功能</w:t>
      </w:r>
      <w:r>
        <w:rPr>
          <w:rFonts w:hint="eastAsia" w:ascii="仿宋_GB2312" w:hAnsi="仿宋_GB2312" w:eastAsia="仿宋_GB2312" w:cs="仿宋_GB2312"/>
          <w:sz w:val="32"/>
          <w:lang w:bidi="ar"/>
        </w:rPr>
        <w:t>。</w:t>
      </w:r>
    </w:p>
    <w:p w14:paraId="3AB3FA6D">
      <w:pPr>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（1）信息处理功能，包括根据参与响应服务品种对聚合资源进行群组分类，对日常运行数据、参与响应服务涉及的信息进行信息采集、信息处理、数据校验、信息分发、信息储存功能。</w:t>
      </w:r>
    </w:p>
    <w:p w14:paraId="12609276">
      <w:pPr>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（2）运行监控功能，包括实时监测虚拟电厂及其聚合资源的运行状态，包括设备状态、实时负荷、执行情况，支持异常告警与事件管理功能。</w:t>
      </w:r>
    </w:p>
    <w:p w14:paraId="03D564E5">
      <w:pPr>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（3）业务管理功能，包括</w:t>
      </w:r>
      <w:r>
        <w:rPr>
          <w:rFonts w:hint="eastAsia" w:ascii="Times New Roman" w:hAnsi="Times New Roman" w:eastAsia="仿宋_GB2312" w:cs="Times New Roman"/>
          <w:sz w:val="32"/>
        </w:rPr>
        <w:t>客户服务、</w:t>
      </w:r>
      <w:r>
        <w:rPr>
          <w:rFonts w:hint="eastAsia" w:ascii="仿宋_GB2312" w:hAnsi="仿宋_GB2312" w:eastAsia="仿宋_GB2312" w:cs="仿宋_GB2312"/>
          <w:sz w:val="32"/>
        </w:rPr>
        <w:t>用户档案管理、资源分类、合同管理、参与响应服务管理及结算管理等功能。</w:t>
      </w:r>
    </w:p>
    <w:p w14:paraId="5FD47D66">
      <w:pPr>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（4）计量监管功能，包括对</w:t>
      </w:r>
      <w:r>
        <w:rPr>
          <w:rFonts w:ascii="Times New Roman" w:hAnsi="Times New Roman" w:eastAsia="仿宋_GB2312" w:cs="Times New Roman"/>
          <w:sz w:val="32"/>
        </w:rPr>
        <w:t>所聚合</w:t>
      </w:r>
      <w:r>
        <w:rPr>
          <w:rFonts w:hint="eastAsia" w:ascii="Times New Roman" w:hAnsi="Times New Roman" w:eastAsia="仿宋_GB2312" w:cs="Times New Roman"/>
          <w:sz w:val="32"/>
        </w:rPr>
        <w:t>用户</w:t>
      </w:r>
      <w:r>
        <w:rPr>
          <w:rFonts w:ascii="Times New Roman" w:hAnsi="Times New Roman" w:eastAsia="仿宋_GB2312" w:cs="Times New Roman"/>
          <w:sz w:val="32"/>
        </w:rPr>
        <w:t>的</w:t>
      </w:r>
      <w:r>
        <w:rPr>
          <w:rFonts w:hint="eastAsia" w:ascii="Times New Roman" w:hAnsi="Times New Roman" w:eastAsia="仿宋_GB2312" w:cs="Times New Roman"/>
          <w:sz w:val="32"/>
        </w:rPr>
        <w:t>实时运行</w:t>
      </w:r>
      <w:r>
        <w:rPr>
          <w:rFonts w:ascii="Times New Roman" w:hAnsi="Times New Roman" w:eastAsia="仿宋_GB2312" w:cs="Times New Roman"/>
          <w:sz w:val="32"/>
        </w:rPr>
        <w:t>功率或</w:t>
      </w:r>
      <w:r>
        <w:rPr>
          <w:rFonts w:hint="eastAsia" w:ascii="Times New Roman" w:hAnsi="Times New Roman" w:eastAsia="仿宋_GB2312" w:cs="Times New Roman"/>
          <w:sz w:val="32"/>
        </w:rPr>
        <w:t>历史运行功率等计量数据进行</w:t>
      </w:r>
      <w:r>
        <w:rPr>
          <w:rFonts w:hint="eastAsia" w:ascii="仿宋_GB2312" w:hAnsi="仿宋_GB2312" w:eastAsia="仿宋_GB2312" w:cs="仿宋_GB2312"/>
          <w:sz w:val="32"/>
        </w:rPr>
        <w:t>数据采集与存储功能、计量数据异常告警功能。</w:t>
      </w:r>
    </w:p>
    <w:p w14:paraId="4C5AF620">
      <w:pPr>
        <w:widowControl/>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（5）控制执行功能，应具备接收控制指令并对所聚合资源进行控制指令拆解与下发功能，并满足相应的调节速率、响应时间等要求</w:t>
      </w:r>
      <w:r>
        <w:rPr>
          <w:rFonts w:hint="eastAsia" w:ascii="仿宋_GB2312" w:hAnsi="仿宋_GB2312" w:eastAsia="仿宋_GB2312" w:cs="仿宋_GB2312"/>
          <w:sz w:val="32"/>
          <w:lang w:bidi="ar"/>
        </w:rPr>
        <w:t>。</w:t>
      </w:r>
    </w:p>
    <w:p w14:paraId="4B6873BB">
      <w:pPr>
        <w:keepNext/>
        <w:numPr>
          <w:ilvl w:val="255"/>
          <w:numId w:val="0"/>
        </w:numPr>
        <w:tabs>
          <w:tab w:val="left" w:pos="0"/>
        </w:tabs>
        <w:adjustRightInd w:val="0"/>
        <w:snapToGrid w:val="0"/>
        <w:spacing w:line="560" w:lineRule="exact"/>
        <w:ind w:firstLine="640" w:firstLineChars="200"/>
        <w:jc w:val="left"/>
        <w:rPr>
          <w:rFonts w:ascii="黑体" w:hAnsi="黑体" w:eastAsia="黑体" w:cs="黑体"/>
          <w:sz w:val="32"/>
          <w:lang w:bidi="ar"/>
        </w:rPr>
      </w:pPr>
      <w:r>
        <w:rPr>
          <w:rFonts w:hint="eastAsia" w:ascii="黑体" w:hAnsi="黑体" w:eastAsia="黑体" w:cs="黑体"/>
          <w:sz w:val="32"/>
          <w:lang w:bidi="ar"/>
        </w:rPr>
        <w:t xml:space="preserve">三、系统性能要求 </w:t>
      </w:r>
    </w:p>
    <w:p w14:paraId="41292DA3">
      <w:pPr>
        <w:widowControl/>
        <w:numPr>
          <w:ilvl w:val="0"/>
          <w:numId w:val="15"/>
        </w:numPr>
        <w:tabs>
          <w:tab w:val="left" w:pos="0"/>
        </w:tabs>
        <w:adjustRightInd w:val="0"/>
        <w:snapToGrid w:val="0"/>
        <w:spacing w:line="560" w:lineRule="exact"/>
        <w:ind w:firstLine="640" w:firstLineChars="200"/>
        <w:jc w:val="left"/>
        <w:rPr>
          <w:rFonts w:ascii="楷体_GB2312" w:hAnsi="楷体_GB2312" w:eastAsia="楷体_GB2312" w:cs="楷体_GB2312"/>
          <w:sz w:val="32"/>
        </w:rPr>
      </w:pPr>
      <w:r>
        <w:rPr>
          <w:rFonts w:hint="eastAsia" w:ascii="楷体_GB2312" w:hAnsi="楷体_GB2312" w:eastAsia="楷体_GB2312" w:cs="楷体_GB2312"/>
          <w:sz w:val="32"/>
        </w:rPr>
        <w:t>数据存储要求</w:t>
      </w:r>
    </w:p>
    <w:p w14:paraId="61DC2E67">
      <w:pPr>
        <w:numPr>
          <w:ilvl w:val="255"/>
          <w:numId w:val="0"/>
        </w:numPr>
        <w:tabs>
          <w:tab w:val="left" w:pos="0"/>
        </w:tabs>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lang w:bidi="ar"/>
        </w:rPr>
        <w:t>虚拟电厂应具备运行数据存储能力和历史数据存储能力，运行数据存储时间应不少于3年，历史数据存储时间不少于5年。</w:t>
      </w:r>
    </w:p>
    <w:p w14:paraId="14CB81DF">
      <w:pPr>
        <w:widowControl/>
        <w:numPr>
          <w:ilvl w:val="0"/>
          <w:numId w:val="15"/>
        </w:numPr>
        <w:tabs>
          <w:tab w:val="left" w:pos="0"/>
        </w:tabs>
        <w:adjustRightInd w:val="0"/>
        <w:snapToGrid w:val="0"/>
        <w:spacing w:line="560" w:lineRule="exact"/>
        <w:ind w:firstLine="640" w:firstLineChars="200"/>
        <w:jc w:val="left"/>
        <w:rPr>
          <w:rFonts w:ascii="楷体_GB2312" w:hAnsi="楷体_GB2312" w:eastAsia="楷体_GB2312" w:cs="楷体_GB2312"/>
          <w:sz w:val="32"/>
        </w:rPr>
      </w:pPr>
      <w:r>
        <w:rPr>
          <w:rFonts w:hint="eastAsia" w:ascii="楷体_GB2312" w:hAnsi="楷体_GB2312" w:eastAsia="楷体_GB2312" w:cs="楷体_GB2312"/>
          <w:sz w:val="32"/>
        </w:rPr>
        <w:t>可靠性要求</w:t>
      </w:r>
    </w:p>
    <w:p w14:paraId="231B3D51">
      <w:pPr>
        <w:numPr>
          <w:ilvl w:val="255"/>
          <w:numId w:val="0"/>
        </w:numPr>
        <w:tabs>
          <w:tab w:val="left" w:pos="0"/>
        </w:tabs>
        <w:adjustRightInd w:val="0"/>
        <w:snapToGrid w:val="0"/>
        <w:spacing w:line="560"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lang w:bidi="ar"/>
        </w:rPr>
        <w:t>数据的年可用率应≥99.9%。</w:t>
      </w:r>
    </w:p>
    <w:p w14:paraId="1E20B153">
      <w:pPr>
        <w:widowControl/>
        <w:numPr>
          <w:ilvl w:val="0"/>
          <w:numId w:val="15"/>
        </w:numPr>
        <w:tabs>
          <w:tab w:val="left" w:pos="0"/>
        </w:tabs>
        <w:adjustRightInd w:val="0"/>
        <w:snapToGrid w:val="0"/>
        <w:spacing w:line="560" w:lineRule="exact"/>
        <w:ind w:firstLine="640" w:firstLineChars="200"/>
        <w:jc w:val="left"/>
        <w:rPr>
          <w:rFonts w:ascii="楷体_GB2312" w:hAnsi="楷体_GB2312" w:eastAsia="楷体_GB2312" w:cs="楷体_GB2312"/>
          <w:sz w:val="32"/>
        </w:rPr>
      </w:pPr>
      <w:r>
        <w:rPr>
          <w:rFonts w:hint="eastAsia" w:ascii="楷体_GB2312" w:hAnsi="楷体_GB2312" w:eastAsia="楷体_GB2312" w:cs="楷体_GB2312"/>
          <w:sz w:val="32"/>
        </w:rPr>
        <w:t>网络传输要求</w:t>
      </w:r>
    </w:p>
    <w:p w14:paraId="3FA5889C">
      <w:pPr>
        <w:numPr>
          <w:ilvl w:val="255"/>
          <w:numId w:val="0"/>
        </w:numPr>
        <w:tabs>
          <w:tab w:val="left" w:pos="0"/>
        </w:tabs>
        <w:adjustRightInd w:val="0"/>
        <w:snapToGrid w:val="0"/>
        <w:spacing w:line="560" w:lineRule="exact"/>
        <w:ind w:firstLine="640" w:firstLineChars="200"/>
        <w:rPr>
          <w:rFonts w:ascii="Times New Roman" w:hAnsi="Times New Roman" w:eastAsia="仿宋_GB2312" w:cs="Times New Roman"/>
          <w:sz w:val="32"/>
        </w:rPr>
      </w:pPr>
      <w:r>
        <w:rPr>
          <w:rFonts w:hint="eastAsia" w:ascii="仿宋_GB2312" w:hAnsi="仿宋_GB2312" w:eastAsia="仿宋_GB2312" w:cs="仿宋_GB2312"/>
          <w:sz w:val="32"/>
        </w:rPr>
        <w:t>虚拟电厂应通过光纤或4G（5G）无线专网等方式实现对所聚合调节资源遥测、遥信的全覆盖，网络速率延迟不超过500ms，丢包率不高于1%。</w:t>
      </w:r>
    </w:p>
    <w:p w14:paraId="6C542611">
      <w:pPr>
        <w:widowControl/>
        <w:tabs>
          <w:tab w:val="left" w:pos="0"/>
        </w:tabs>
        <w:adjustRightInd w:val="0"/>
        <w:snapToGrid w:val="0"/>
        <w:spacing w:line="560" w:lineRule="exact"/>
        <w:ind w:firstLine="640" w:firstLineChars="200"/>
        <w:jc w:val="left"/>
        <w:rPr>
          <w:rFonts w:ascii="Times New Roman" w:hAnsi="Times New Roman" w:eastAsia="仿宋_GB2312" w:cs="Times New Roman"/>
          <w:sz w:val="32"/>
        </w:rPr>
      </w:pPr>
      <w:r>
        <w:rPr>
          <w:rFonts w:hint="eastAsia" w:ascii="黑体" w:hAnsi="黑体" w:eastAsia="黑体" w:cs="黑体"/>
          <w:sz w:val="32"/>
          <w:lang w:bidi="ar"/>
        </w:rPr>
        <w:t>四、数据交互要求</w:t>
      </w:r>
    </w:p>
    <w:p w14:paraId="6F53A607">
      <w:pPr>
        <w:widowControl/>
        <w:numPr>
          <w:ilvl w:val="0"/>
          <w:numId w:val="16"/>
        </w:numPr>
        <w:tabs>
          <w:tab w:val="left" w:pos="0"/>
        </w:tabs>
        <w:adjustRightInd w:val="0"/>
        <w:snapToGrid w:val="0"/>
        <w:spacing w:line="560" w:lineRule="exact"/>
        <w:ind w:firstLine="640"/>
        <w:jc w:val="left"/>
        <w:rPr>
          <w:rFonts w:ascii="楷体_GB2312" w:hAnsi="楷体_GB2312" w:eastAsia="楷体_GB2312" w:cs="楷体_GB2312"/>
          <w:sz w:val="32"/>
        </w:rPr>
      </w:pPr>
      <w:r>
        <w:rPr>
          <w:rFonts w:hint="eastAsia" w:ascii="楷体_GB2312" w:hAnsi="楷体_GB2312" w:eastAsia="楷体_GB2312" w:cs="楷体_GB2312"/>
          <w:sz w:val="32"/>
        </w:rPr>
        <w:t>数据接入要求</w:t>
      </w:r>
    </w:p>
    <w:p w14:paraId="6D3E6FC2">
      <w:pPr>
        <w:numPr>
          <w:ilvl w:val="255"/>
          <w:numId w:val="0"/>
        </w:numPr>
        <w:adjustRightInd w:val="0"/>
        <w:snapToGrid w:val="0"/>
        <w:spacing w:line="560" w:lineRule="exact"/>
        <w:ind w:firstLine="640" w:firstLineChars="200"/>
        <w:rPr>
          <w:rFonts w:ascii="仿宋_GB2312" w:hAnsi="仿宋_GB2312" w:eastAsia="仿宋_GB2312" w:cs="仿宋_GB2312"/>
          <w:sz w:val="32"/>
        </w:rPr>
      </w:pPr>
      <w:r>
        <w:rPr>
          <w:rFonts w:ascii="仿宋_GB2312" w:hAnsi="仿宋_GB2312" w:eastAsia="仿宋_GB2312" w:cs="仿宋_GB2312"/>
          <w:sz w:val="32"/>
        </w:rPr>
        <w:t>虚拟电厂技术支持系统与新型电力负荷管理系统</w:t>
      </w:r>
      <w:r>
        <w:rPr>
          <w:rFonts w:hint="eastAsia" w:ascii="仿宋_GB2312" w:hAnsi="仿宋_GB2312" w:eastAsia="仿宋_GB2312" w:cs="仿宋_GB2312"/>
          <w:sz w:val="32"/>
        </w:rPr>
        <w:t>的数据交互应</w:t>
      </w:r>
      <w:r>
        <w:rPr>
          <w:rFonts w:hint="eastAsia" w:ascii="Times New Roman" w:hAnsi="Times New Roman" w:eastAsia="仿宋_GB2312" w:cs="Times New Roman"/>
          <w:sz w:val="32"/>
        </w:rPr>
        <w:t>保证数据的完整性</w:t>
      </w:r>
      <w:r>
        <w:rPr>
          <w:rFonts w:hint="eastAsia" w:ascii="仿宋_GB2312" w:hAnsi="仿宋_GB2312" w:eastAsia="仿宋_GB2312" w:cs="仿宋_GB2312"/>
          <w:sz w:val="32"/>
        </w:rPr>
        <w:t>。包含虚拟电厂信息和聚合资源信息，参与响应服务的运行类数据交互频次不大于1分钟/次。</w:t>
      </w:r>
    </w:p>
    <w:p w14:paraId="317974CE">
      <w:pPr>
        <w:numPr>
          <w:ilvl w:val="255"/>
          <w:numId w:val="0"/>
        </w:numPr>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虚拟电厂信息：实时总有功功率、目标功率、目标调节量、实际调节量等。</w:t>
      </w:r>
    </w:p>
    <w:p w14:paraId="532EC816">
      <w:pPr>
        <w:numPr>
          <w:ilvl w:val="255"/>
          <w:numId w:val="0"/>
        </w:numPr>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聚合用户信息：实时有功功率、目标功率、目标调节量、实际调节量等。</w:t>
      </w:r>
    </w:p>
    <w:p w14:paraId="411F17FC">
      <w:pPr>
        <w:widowControl/>
        <w:numPr>
          <w:ilvl w:val="255"/>
          <w:numId w:val="0"/>
        </w:numPr>
        <w:tabs>
          <w:tab w:val="left" w:pos="0"/>
        </w:tabs>
        <w:adjustRightInd w:val="0"/>
        <w:snapToGrid w:val="0"/>
        <w:spacing w:line="560" w:lineRule="exact"/>
        <w:ind w:firstLine="640" w:firstLineChars="200"/>
        <w:jc w:val="left"/>
        <w:rPr>
          <w:rFonts w:ascii="楷体_GB2312" w:hAnsi="楷体_GB2312" w:eastAsia="楷体_GB2312" w:cs="楷体_GB2312"/>
          <w:sz w:val="32"/>
        </w:rPr>
      </w:pPr>
      <w:r>
        <w:rPr>
          <w:rFonts w:hint="eastAsia" w:ascii="楷体_GB2312" w:hAnsi="楷体_GB2312" w:eastAsia="楷体_GB2312" w:cs="楷体_GB2312"/>
          <w:sz w:val="32"/>
        </w:rPr>
        <w:t>（二）虚拟电厂上送的数据单位要求</w:t>
      </w:r>
    </w:p>
    <w:p w14:paraId="37039917">
      <w:pPr>
        <w:widowControl/>
        <w:numPr>
          <w:ilvl w:val="255"/>
          <w:numId w:val="0"/>
        </w:numPr>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有功功率单位为kW，无功功率为kVar，有功电量为kWh,无功电网为kVarh。</w:t>
      </w:r>
    </w:p>
    <w:p w14:paraId="2D1100C6">
      <w:pPr>
        <w:widowControl/>
        <w:numPr>
          <w:ilvl w:val="255"/>
          <w:numId w:val="0"/>
        </w:numPr>
        <w:tabs>
          <w:tab w:val="left" w:pos="0"/>
        </w:tabs>
        <w:adjustRightInd w:val="0"/>
        <w:snapToGrid w:val="0"/>
        <w:spacing w:line="560" w:lineRule="exact"/>
        <w:ind w:left="420" w:leftChars="200"/>
        <w:jc w:val="left"/>
        <w:rPr>
          <w:rFonts w:ascii="楷体_GB2312" w:hAnsi="楷体_GB2312" w:eastAsia="楷体_GB2312" w:cs="楷体_GB2312"/>
          <w:sz w:val="32"/>
        </w:rPr>
      </w:pPr>
      <w:r>
        <w:rPr>
          <w:rFonts w:hint="eastAsia" w:ascii="楷体_GB2312" w:hAnsi="楷体_GB2312" w:eastAsia="楷体_GB2312" w:cs="楷体_GB2312"/>
          <w:sz w:val="32"/>
        </w:rPr>
        <w:t>（三）数据完整性要求</w:t>
      </w:r>
    </w:p>
    <w:p w14:paraId="6D3D4442">
      <w:pPr>
        <w:numPr>
          <w:ilvl w:val="255"/>
          <w:numId w:val="0"/>
        </w:numPr>
        <w:tabs>
          <w:tab w:val="left" w:pos="0"/>
        </w:tabs>
        <w:adjustRightInd w:val="0"/>
        <w:snapToGrid w:val="0"/>
        <w:spacing w:line="560" w:lineRule="exact"/>
        <w:ind w:firstLine="640"/>
        <w:rPr>
          <w:rFonts w:ascii="仿宋_GB2312" w:hAnsi="仿宋_GB2312" w:eastAsia="仿宋_GB2312" w:cs="仿宋_GB2312"/>
          <w:sz w:val="32"/>
        </w:rPr>
      </w:pPr>
      <w:r>
        <w:rPr>
          <w:rFonts w:hint="eastAsia" w:ascii="仿宋_GB2312" w:hAnsi="仿宋_GB2312" w:eastAsia="仿宋_GB2312" w:cs="仿宋_GB2312"/>
          <w:sz w:val="32"/>
        </w:rPr>
        <w:t>虚拟电厂应确保自有技术支持系统采集数据的完整性和规范性，接入虚拟电厂</w:t>
      </w:r>
      <w:r>
        <w:rPr>
          <w:rFonts w:ascii="仿宋_GB2312" w:hAnsi="仿宋_GB2312" w:eastAsia="仿宋_GB2312" w:cs="仿宋_GB2312"/>
          <w:sz w:val="32"/>
        </w:rPr>
        <w:t>系统</w:t>
      </w:r>
      <w:r>
        <w:rPr>
          <w:rFonts w:hint="eastAsia" w:ascii="仿宋_GB2312" w:hAnsi="仿宋_GB2312" w:eastAsia="仿宋_GB2312" w:cs="仿宋_GB2312"/>
          <w:sz w:val="32"/>
        </w:rPr>
        <w:t>并上送的每日信息数据完整率应大于99%。</w:t>
      </w:r>
    </w:p>
    <w:p w14:paraId="119A9F66">
      <w:pPr>
        <w:widowControl/>
        <w:tabs>
          <w:tab w:val="left" w:pos="0"/>
        </w:tabs>
        <w:adjustRightInd w:val="0"/>
        <w:snapToGrid w:val="0"/>
        <w:spacing w:line="560" w:lineRule="exact"/>
        <w:ind w:firstLine="640" w:firstLineChars="200"/>
        <w:jc w:val="left"/>
        <w:rPr>
          <w:rFonts w:ascii="黑体" w:hAnsi="黑体" w:eastAsia="黑体" w:cs="黑体"/>
          <w:sz w:val="32"/>
          <w:lang w:bidi="ar"/>
        </w:rPr>
      </w:pPr>
      <w:r>
        <w:rPr>
          <w:rFonts w:hint="eastAsia" w:ascii="黑体" w:hAnsi="黑体" w:eastAsia="黑体" w:cs="黑体"/>
          <w:sz w:val="32"/>
          <w:lang w:bidi="ar"/>
        </w:rPr>
        <w:t>五、安全防护要求</w:t>
      </w:r>
    </w:p>
    <w:p w14:paraId="5000AC55">
      <w:pPr>
        <w:widowControl/>
        <w:numPr>
          <w:ilvl w:val="255"/>
          <w:numId w:val="0"/>
        </w:numPr>
        <w:tabs>
          <w:tab w:val="left" w:pos="0"/>
        </w:tabs>
        <w:adjustRightInd w:val="0"/>
        <w:snapToGrid w:val="0"/>
        <w:spacing w:line="560" w:lineRule="exact"/>
        <w:ind w:left="420" w:leftChars="200"/>
        <w:jc w:val="left"/>
        <w:rPr>
          <w:rFonts w:ascii="楷体_GB2312" w:hAnsi="楷体_GB2312" w:eastAsia="楷体_GB2312" w:cs="楷体_GB2312"/>
          <w:sz w:val="32"/>
        </w:rPr>
      </w:pPr>
      <w:r>
        <w:rPr>
          <w:rFonts w:hint="eastAsia" w:ascii="楷体_GB2312" w:hAnsi="楷体_GB2312" w:eastAsia="楷体_GB2312" w:cs="楷体_GB2312"/>
          <w:sz w:val="32"/>
        </w:rPr>
        <w:t>（一）系统安全防护要求</w:t>
      </w:r>
    </w:p>
    <w:p w14:paraId="4BE65088">
      <w:pPr>
        <w:numPr>
          <w:ilvl w:val="255"/>
          <w:numId w:val="0"/>
        </w:numPr>
        <w:tabs>
          <w:tab w:val="left" w:pos="0"/>
        </w:tabs>
        <w:adjustRightInd w:val="0"/>
        <w:snapToGrid w:val="0"/>
        <w:spacing w:line="560" w:lineRule="exact"/>
        <w:ind w:firstLine="640" w:firstLineChars="200"/>
        <w:rPr>
          <w:rFonts w:ascii="仿宋_GB2312" w:hAnsi="仿宋_GB2312" w:eastAsia="仿宋_GB2312" w:cs="仿宋_GB2312"/>
          <w:sz w:val="32"/>
        </w:rPr>
      </w:pPr>
      <w:r>
        <w:rPr>
          <w:rFonts w:ascii="Times New Roman" w:hAnsi="Times New Roman" w:eastAsia="仿宋_GB2312" w:cs="Times New Roman"/>
          <w:sz w:val="32"/>
          <w:lang w:bidi="ar"/>
        </w:rPr>
        <w:t>虚拟电厂运营商技术支持系统应具备电网企业对接入系统要求的信息安全防护措施，应满足网络安全等级保护第二级基本要求</w:t>
      </w:r>
      <w:r>
        <w:rPr>
          <w:rFonts w:hint="eastAsia" w:ascii="仿宋_GB2312" w:hAnsi="仿宋_GB2312" w:eastAsia="仿宋_GB2312" w:cs="仿宋_GB2312"/>
          <w:sz w:val="32"/>
        </w:rPr>
        <w:t>，并具备网络安全等级测评与检测评估机构服务认证资质的第三方测试机构出具的等级保护测评报告。</w:t>
      </w:r>
    </w:p>
    <w:p w14:paraId="29818747">
      <w:pPr>
        <w:widowControl/>
        <w:numPr>
          <w:ilvl w:val="255"/>
          <w:numId w:val="0"/>
        </w:numPr>
        <w:tabs>
          <w:tab w:val="left" w:pos="0"/>
        </w:tabs>
        <w:adjustRightInd w:val="0"/>
        <w:snapToGrid w:val="0"/>
        <w:spacing w:line="560" w:lineRule="exact"/>
        <w:ind w:left="420" w:leftChars="200"/>
        <w:jc w:val="left"/>
        <w:rPr>
          <w:rFonts w:ascii="楷体_GB2312" w:hAnsi="楷体_GB2312" w:eastAsia="楷体_GB2312" w:cs="楷体_GB2312"/>
          <w:sz w:val="32"/>
        </w:rPr>
      </w:pPr>
      <w:r>
        <w:rPr>
          <w:rFonts w:hint="eastAsia" w:ascii="楷体_GB2312" w:hAnsi="楷体_GB2312" w:eastAsia="楷体_GB2312" w:cs="楷体_GB2312"/>
          <w:sz w:val="32"/>
        </w:rPr>
        <w:t>（二）网络安全防护技术</w:t>
      </w:r>
    </w:p>
    <w:p w14:paraId="0DD757C2">
      <w:pPr>
        <w:numPr>
          <w:ilvl w:val="255"/>
          <w:numId w:val="0"/>
        </w:numPr>
        <w:tabs>
          <w:tab w:val="left" w:pos="0"/>
        </w:tabs>
        <w:adjustRightInd w:val="0"/>
        <w:snapToGrid w:val="0"/>
        <w:spacing w:line="560"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1.网络通信安全要求</w:t>
      </w:r>
    </w:p>
    <w:p w14:paraId="0655B9D2">
      <w:pPr>
        <w:numPr>
          <w:ilvl w:val="255"/>
          <w:numId w:val="0"/>
        </w:numPr>
        <w:tabs>
          <w:tab w:val="left" w:pos="0"/>
        </w:tabs>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与虚拟电厂系统交互</w:t>
      </w:r>
      <w:r>
        <w:rPr>
          <w:rFonts w:hint="eastAsia" w:ascii="Times New Roman" w:hAnsi="Times New Roman" w:eastAsia="仿宋_GB2312" w:cs="Times New Roman"/>
          <w:sz w:val="32"/>
        </w:rPr>
        <w:t>负荷控制业务时，</w:t>
      </w:r>
      <w:r>
        <w:rPr>
          <w:rFonts w:hint="eastAsia" w:ascii="仿宋_GB2312" w:hAnsi="仿宋_GB2312" w:eastAsia="仿宋_GB2312" w:cs="仿宋_GB2312"/>
          <w:sz w:val="32"/>
        </w:rPr>
        <w:t>应采用支持基于国密算法的计量通信认证网关等纵向加密认证措施实现数据传输的加密和身份认证功能，进行身份认证、访问控制和数据加密等安全防护措施。</w:t>
      </w:r>
    </w:p>
    <w:p w14:paraId="776ECB6D">
      <w:pPr>
        <w:numPr>
          <w:ilvl w:val="0"/>
          <w:numId w:val="17"/>
        </w:numPr>
        <w:tabs>
          <w:tab w:val="left" w:pos="0"/>
        </w:tabs>
        <w:adjustRightInd w:val="0"/>
        <w:snapToGrid w:val="0"/>
        <w:spacing w:line="560"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应用数据安全</w:t>
      </w:r>
    </w:p>
    <w:p w14:paraId="67B81565">
      <w:pPr>
        <w:numPr>
          <w:ilvl w:val="255"/>
          <w:numId w:val="0"/>
        </w:numPr>
        <w:tabs>
          <w:tab w:val="left" w:pos="0"/>
        </w:tabs>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向虚拟电厂系统上送数据时，应使用商用密码软件工具包（SDK）对数据进行加密。</w:t>
      </w:r>
    </w:p>
    <w:p w14:paraId="5890782B">
      <w:pPr>
        <w:widowControl/>
        <w:numPr>
          <w:ilvl w:val="255"/>
          <w:numId w:val="0"/>
        </w:numPr>
        <w:tabs>
          <w:tab w:val="left" w:pos="0"/>
        </w:tabs>
        <w:adjustRightInd w:val="0"/>
        <w:snapToGrid w:val="0"/>
        <w:spacing w:line="560" w:lineRule="exact"/>
        <w:ind w:left="420" w:leftChars="200"/>
        <w:jc w:val="left"/>
        <w:rPr>
          <w:rFonts w:ascii="楷体_GB2312" w:hAnsi="楷体_GB2312" w:eastAsia="楷体_GB2312" w:cs="楷体_GB2312"/>
          <w:sz w:val="32"/>
        </w:rPr>
      </w:pPr>
      <w:r>
        <w:rPr>
          <w:rFonts w:hint="eastAsia" w:ascii="楷体_GB2312" w:hAnsi="楷体_GB2312" w:eastAsia="楷体_GB2312" w:cs="楷体_GB2312"/>
          <w:sz w:val="32"/>
        </w:rPr>
        <w:t>（三）数据安全要求</w:t>
      </w:r>
    </w:p>
    <w:p w14:paraId="0EA6F379">
      <w:pPr>
        <w:numPr>
          <w:ilvl w:val="255"/>
          <w:numId w:val="0"/>
        </w:numPr>
        <w:tabs>
          <w:tab w:val="left" w:pos="0"/>
        </w:tabs>
        <w:adjustRightInd w:val="0"/>
        <w:snapToGrid w:val="0"/>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涉及合同、响应服务等关键业务数据应采用加密存储，并采取数据防泄露、水印追踪、防止越权访问与篡改等措施。</w:t>
      </w:r>
    </w:p>
    <w:p w14:paraId="3CDAC401">
      <w:pPr>
        <w:rPr>
          <w:rFonts w:ascii="Times New Roman" w:hAnsi="Times New Roman" w:eastAsia="黑体" w:cs="Times New Roman"/>
          <w:b/>
          <w:sz w:val="32"/>
          <w:szCs w:val="32"/>
        </w:rPr>
      </w:pPr>
      <w:r>
        <w:rPr>
          <w:rFonts w:ascii="Times New Roman" w:hAnsi="Times New Roman" w:eastAsia="黑体" w:cs="Times New Roman"/>
          <w:b/>
          <w:sz w:val="32"/>
          <w:szCs w:val="32"/>
        </w:rPr>
        <w:br w:type="page"/>
      </w:r>
    </w:p>
    <w:p w14:paraId="5738397D">
      <w:pPr>
        <w:pStyle w:val="33"/>
        <w:tabs>
          <w:tab w:val="left" w:pos="6720"/>
        </w:tabs>
        <w:spacing w:line="560" w:lineRule="exact"/>
        <w:ind w:firstLine="0" w:firstLineChars="0"/>
        <w:outlineLvl w:val="1"/>
        <w:rPr>
          <w:rFonts w:hint="default" w:ascii="黑体" w:hAnsi="黑体" w:eastAsia="黑体" w:cs="黑体"/>
          <w:b w:val="0"/>
          <w:bCs/>
          <w:sz w:val="32"/>
          <w:szCs w:val="32"/>
        </w:rPr>
      </w:pPr>
      <w:r>
        <w:rPr>
          <w:rFonts w:hint="eastAsia" w:ascii="黑体" w:hAnsi="黑体" w:eastAsia="黑体" w:cs="黑体"/>
          <w:b w:val="0"/>
          <w:bCs/>
          <w:sz w:val="32"/>
          <w:szCs w:val="32"/>
        </w:rPr>
        <w:t>附录8</w:t>
      </w:r>
    </w:p>
    <w:p w14:paraId="3E19A818">
      <w:pPr>
        <w:kinsoku w:val="0"/>
        <w:autoSpaceDE w:val="0"/>
        <w:autoSpaceDN w:val="0"/>
        <w:adjustRightInd w:val="0"/>
        <w:snapToGrid w:val="0"/>
        <w:spacing w:before="102" w:line="560" w:lineRule="exact"/>
        <w:jc w:val="center"/>
        <w:textAlignment w:val="baseline"/>
        <w:outlineLvl w:val="0"/>
        <w:rPr>
          <w:rFonts w:hint="eastAsia" w:ascii="方正小标宋_GBK" w:hAnsi="方正小标宋_GBK" w:eastAsia="方正小标宋_GBK" w:cs="方正小标宋_GBK"/>
          <w:snapToGrid w:val="0"/>
          <w:spacing w:val="-3"/>
          <w:kern w:val="0"/>
          <w:sz w:val="44"/>
          <w:szCs w:val="44"/>
        </w:rPr>
      </w:pPr>
    </w:p>
    <w:p w14:paraId="541D790F">
      <w:pPr>
        <w:kinsoku w:val="0"/>
        <w:autoSpaceDE w:val="0"/>
        <w:autoSpaceDN w:val="0"/>
        <w:adjustRightInd w:val="0"/>
        <w:snapToGrid w:val="0"/>
        <w:spacing w:before="102" w:line="560" w:lineRule="exact"/>
        <w:jc w:val="center"/>
        <w:textAlignment w:val="baseline"/>
        <w:outlineLvl w:val="0"/>
        <w:rPr>
          <w:rFonts w:ascii="方正小标宋_GBK" w:hAnsi="方正小标宋_GBK" w:eastAsia="方正小标宋_GBK" w:cs="方正小标宋_GBK"/>
          <w:snapToGrid w:val="0"/>
          <w:spacing w:val="-3"/>
          <w:kern w:val="0"/>
          <w:sz w:val="44"/>
          <w:szCs w:val="44"/>
        </w:rPr>
      </w:pPr>
      <w:r>
        <w:rPr>
          <w:rFonts w:hint="eastAsia" w:ascii="方正小标宋_GBK" w:hAnsi="方正小标宋_GBK" w:eastAsia="方正小标宋_GBK" w:cs="方正小标宋_GBK"/>
          <w:snapToGrid w:val="0"/>
          <w:spacing w:val="-3"/>
          <w:kern w:val="0"/>
          <w:sz w:val="44"/>
          <w:szCs w:val="44"/>
        </w:rPr>
        <w:t>虚拟电厂运营商技术支持系统接入虚拟电厂管理系统接口规范</w:t>
      </w:r>
    </w:p>
    <w:p w14:paraId="1402FC5C">
      <w:pPr>
        <w:widowControl/>
        <w:numPr>
          <w:ilvl w:val="255"/>
          <w:numId w:val="0"/>
        </w:numPr>
        <w:tabs>
          <w:tab w:val="left" w:pos="0"/>
        </w:tabs>
        <w:adjustRightInd w:val="0"/>
        <w:snapToGrid w:val="0"/>
        <w:spacing w:line="560" w:lineRule="exact"/>
        <w:ind w:left="420" w:leftChars="200"/>
        <w:jc w:val="left"/>
        <w:rPr>
          <w:rFonts w:ascii="楷体_GB2312" w:hAnsi="楷体_GB2312" w:eastAsia="楷体_GB2312" w:cs="楷体_GB2312"/>
          <w:sz w:val="32"/>
        </w:rPr>
      </w:pPr>
    </w:p>
    <w:p w14:paraId="0E6A485F">
      <w:pPr>
        <w:widowControl/>
        <w:numPr>
          <w:ilvl w:val="255"/>
          <w:numId w:val="0"/>
        </w:numPr>
        <w:tabs>
          <w:tab w:val="left" w:pos="0"/>
        </w:tabs>
        <w:adjustRightInd w:val="0"/>
        <w:snapToGrid w:val="0"/>
        <w:spacing w:line="560" w:lineRule="exact"/>
        <w:ind w:left="420" w:leftChars="200"/>
        <w:jc w:val="left"/>
        <w:rPr>
          <w:rFonts w:hint="eastAsia" w:ascii="黑体" w:hAnsi="黑体" w:eastAsia="黑体" w:cs="黑体"/>
          <w:sz w:val="32"/>
        </w:rPr>
      </w:pPr>
      <w:r>
        <w:rPr>
          <w:rFonts w:hint="eastAsia" w:ascii="黑体" w:hAnsi="黑体" w:eastAsia="黑体" w:cs="黑体"/>
          <w:sz w:val="32"/>
        </w:rPr>
        <w:t>一、功能接口</w:t>
      </w:r>
    </w:p>
    <w:tbl>
      <w:tblPr>
        <w:tblStyle w:val="43"/>
        <w:tblW w:w="86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7"/>
        <w:gridCol w:w="2589"/>
        <w:gridCol w:w="4673"/>
      </w:tblGrid>
      <w:tr w14:paraId="3143A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407" w:type="dxa"/>
            <w:tcBorders>
              <w:top w:val="single" w:color="000000" w:sz="4" w:space="0"/>
              <w:left w:val="single" w:color="000000" w:sz="4" w:space="0"/>
              <w:bottom w:val="single" w:color="000000" w:sz="4" w:space="0"/>
              <w:right w:val="single" w:color="000000" w:sz="4" w:space="0"/>
            </w:tcBorders>
            <w:vAlign w:val="center"/>
          </w:tcPr>
          <w:p w14:paraId="15785418">
            <w:pPr>
              <w:kinsoku w:val="0"/>
              <w:autoSpaceDE w:val="0"/>
              <w:autoSpaceDN w:val="0"/>
              <w:adjustRightInd w:val="0"/>
              <w:snapToGrid w:val="0"/>
              <w:spacing w:before="62" w:line="218" w:lineRule="auto"/>
              <w:ind w:left="285"/>
              <w:textAlignment w:val="baseline"/>
              <w:rPr>
                <w:rFonts w:ascii="仿宋_GB2312" w:hAnsi="仿宋_GB2312" w:eastAsia="仿宋_GB2312" w:cs="仿宋_GB2312"/>
                <w:b/>
                <w:bCs/>
                <w:snapToGrid w:val="0"/>
                <w:kern w:val="0"/>
                <w:sz w:val="18"/>
                <w:szCs w:val="18"/>
                <w:lang w:eastAsia="en-US"/>
              </w:rPr>
            </w:pPr>
            <w:r>
              <w:rPr>
                <w:rFonts w:hint="eastAsia" w:ascii="仿宋_GB2312" w:hAnsi="仿宋_GB2312" w:eastAsia="仿宋_GB2312" w:cs="仿宋_GB2312"/>
                <w:b/>
                <w:bCs/>
                <w:snapToGrid w:val="0"/>
                <w:spacing w:val="-2"/>
                <w:kern w:val="0"/>
                <w:sz w:val="18"/>
                <w:szCs w:val="18"/>
                <w:lang w:eastAsia="en-US" w:bidi="ar"/>
              </w:rPr>
              <w:t>业务流程</w:t>
            </w:r>
          </w:p>
        </w:tc>
        <w:tc>
          <w:tcPr>
            <w:tcW w:w="2589" w:type="dxa"/>
            <w:tcBorders>
              <w:top w:val="single" w:color="000000" w:sz="4" w:space="0"/>
              <w:left w:val="single" w:color="000000" w:sz="4" w:space="0"/>
              <w:bottom w:val="single" w:color="000000" w:sz="4" w:space="0"/>
              <w:right w:val="single" w:color="000000" w:sz="4" w:space="0"/>
            </w:tcBorders>
            <w:vAlign w:val="center"/>
          </w:tcPr>
          <w:p w14:paraId="3256D41B">
            <w:pPr>
              <w:kinsoku w:val="0"/>
              <w:autoSpaceDE w:val="0"/>
              <w:autoSpaceDN w:val="0"/>
              <w:adjustRightInd w:val="0"/>
              <w:snapToGrid w:val="0"/>
              <w:spacing w:before="62" w:line="218" w:lineRule="auto"/>
              <w:ind w:left="802"/>
              <w:textAlignment w:val="baseline"/>
              <w:rPr>
                <w:rFonts w:ascii="仿宋_GB2312" w:hAnsi="仿宋_GB2312" w:eastAsia="仿宋_GB2312" w:cs="仿宋_GB2312"/>
                <w:b/>
                <w:bCs/>
                <w:snapToGrid w:val="0"/>
                <w:kern w:val="0"/>
                <w:sz w:val="18"/>
                <w:szCs w:val="18"/>
                <w:lang w:eastAsia="en-US"/>
              </w:rPr>
            </w:pPr>
            <w:r>
              <w:rPr>
                <w:rFonts w:hint="eastAsia" w:ascii="仿宋_GB2312" w:hAnsi="仿宋_GB2312" w:eastAsia="仿宋_GB2312" w:cs="仿宋_GB2312"/>
                <w:b/>
                <w:bCs/>
                <w:snapToGrid w:val="0"/>
                <w:spacing w:val="-2"/>
                <w:kern w:val="0"/>
                <w:sz w:val="18"/>
                <w:szCs w:val="18"/>
                <w:lang w:eastAsia="en-US" w:bidi="ar"/>
              </w:rPr>
              <w:t>业务操作</w:t>
            </w:r>
          </w:p>
        </w:tc>
        <w:tc>
          <w:tcPr>
            <w:tcW w:w="4673" w:type="dxa"/>
            <w:tcBorders>
              <w:top w:val="single" w:color="000000" w:sz="4" w:space="0"/>
              <w:left w:val="single" w:color="000000" w:sz="4" w:space="0"/>
              <w:bottom w:val="single" w:color="000000" w:sz="4" w:space="0"/>
              <w:right w:val="single" w:color="000000" w:sz="4" w:space="0"/>
            </w:tcBorders>
            <w:vAlign w:val="center"/>
          </w:tcPr>
          <w:p w14:paraId="37DCEBDE">
            <w:pPr>
              <w:kinsoku w:val="0"/>
              <w:autoSpaceDE w:val="0"/>
              <w:autoSpaceDN w:val="0"/>
              <w:adjustRightInd w:val="0"/>
              <w:snapToGrid w:val="0"/>
              <w:spacing w:before="63" w:line="220" w:lineRule="auto"/>
              <w:ind w:left="2025"/>
              <w:textAlignment w:val="baseline"/>
              <w:rPr>
                <w:rFonts w:ascii="仿宋_GB2312" w:hAnsi="仿宋_GB2312" w:eastAsia="仿宋_GB2312" w:cs="仿宋_GB2312"/>
                <w:b/>
                <w:bCs/>
                <w:snapToGrid w:val="0"/>
                <w:kern w:val="0"/>
                <w:sz w:val="18"/>
                <w:szCs w:val="18"/>
                <w:lang w:eastAsia="en-US"/>
              </w:rPr>
            </w:pPr>
            <w:r>
              <w:rPr>
                <w:rFonts w:hint="eastAsia" w:ascii="仿宋_GB2312" w:hAnsi="仿宋_GB2312" w:eastAsia="仿宋_GB2312" w:cs="仿宋_GB2312"/>
                <w:b/>
                <w:bCs/>
                <w:snapToGrid w:val="0"/>
                <w:spacing w:val="6"/>
                <w:kern w:val="0"/>
                <w:sz w:val="18"/>
                <w:szCs w:val="18"/>
                <w:lang w:eastAsia="en-US" w:bidi="ar"/>
              </w:rPr>
              <w:t>功能接口</w:t>
            </w:r>
          </w:p>
        </w:tc>
      </w:tr>
      <w:tr w14:paraId="2B77F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restart"/>
            <w:tcBorders>
              <w:top w:val="single" w:color="000000" w:sz="4" w:space="0"/>
              <w:left w:val="single" w:color="000000" w:sz="4" w:space="0"/>
              <w:right w:val="single" w:color="000000" w:sz="4" w:space="0"/>
            </w:tcBorders>
            <w:vAlign w:val="center"/>
          </w:tcPr>
          <w:p w14:paraId="67C829C6">
            <w:pPr>
              <w:jc w:val="center"/>
              <w:rPr>
                <w:rFonts w:ascii="仿宋_GB2312" w:hAnsi="仿宋_GB2312" w:eastAsia="仿宋_GB2312" w:cs="仿宋_GB2312"/>
                <w:snapToGrid w:val="0"/>
                <w:spacing w:val="2"/>
                <w:sz w:val="18"/>
                <w:szCs w:val="18"/>
                <w:lang w:bidi="ar"/>
              </w:rPr>
            </w:pPr>
            <w:r>
              <w:rPr>
                <w:rFonts w:hint="eastAsia" w:ascii="仿宋_GB2312" w:hAnsi="仿宋_GB2312" w:eastAsia="仿宋_GB2312" w:cs="仿宋_GB2312"/>
                <w:snapToGrid w:val="0"/>
                <w:spacing w:val="2"/>
                <w:sz w:val="18"/>
                <w:szCs w:val="18"/>
                <w:lang w:bidi="ar"/>
              </w:rPr>
              <w:t>需求发布</w:t>
            </w:r>
          </w:p>
        </w:tc>
        <w:tc>
          <w:tcPr>
            <w:tcW w:w="2589" w:type="dxa"/>
            <w:vMerge w:val="restart"/>
            <w:tcBorders>
              <w:top w:val="single" w:color="000000" w:sz="4" w:space="0"/>
              <w:left w:val="single" w:color="000000" w:sz="4" w:space="0"/>
              <w:right w:val="single" w:color="000000" w:sz="4" w:space="0"/>
            </w:tcBorders>
            <w:vAlign w:val="center"/>
          </w:tcPr>
          <w:p w14:paraId="4551D0F6">
            <w:pPr>
              <w:kinsoku w:val="0"/>
              <w:autoSpaceDE w:val="0"/>
              <w:autoSpaceDN w:val="0"/>
              <w:adjustRightInd w:val="0"/>
              <w:snapToGrid w:val="0"/>
              <w:spacing w:before="58" w:line="218" w:lineRule="auto"/>
              <w:jc w:val="left"/>
              <w:textAlignment w:val="baseline"/>
              <w:rPr>
                <w:rFonts w:ascii="仿宋_GB2312" w:hAnsi="仿宋_GB2312" w:eastAsia="仿宋_GB2312" w:cs="仿宋_GB2312"/>
                <w:snapToGrid w:val="0"/>
                <w:kern w:val="0"/>
                <w:sz w:val="18"/>
                <w:szCs w:val="18"/>
              </w:rPr>
            </w:pPr>
            <w:r>
              <w:rPr>
                <w:rFonts w:hint="eastAsia" w:ascii="仿宋_GB2312" w:hAnsi="仿宋_GB2312" w:eastAsia="仿宋_GB2312" w:cs="仿宋_GB2312"/>
                <w:snapToGrid w:val="0"/>
                <w:kern w:val="0"/>
                <w:sz w:val="18"/>
                <w:szCs w:val="18"/>
              </w:rPr>
              <w:t>日前/日内/无功/备用</w:t>
            </w:r>
          </w:p>
        </w:tc>
        <w:tc>
          <w:tcPr>
            <w:tcW w:w="4673" w:type="dxa"/>
            <w:tcBorders>
              <w:top w:val="single" w:color="000000" w:sz="4" w:space="0"/>
              <w:left w:val="single" w:color="000000" w:sz="4" w:space="0"/>
              <w:bottom w:val="single" w:color="000000" w:sz="4" w:space="0"/>
              <w:right w:val="single" w:color="000000" w:sz="4" w:space="0"/>
            </w:tcBorders>
            <w:vAlign w:val="center"/>
          </w:tcPr>
          <w:p w14:paraId="601A58D5">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kern w:val="0"/>
                <w:sz w:val="18"/>
                <w:szCs w:val="18"/>
              </w:rPr>
              <w:t>月度备用需求发布</w:t>
            </w:r>
          </w:p>
        </w:tc>
      </w:tr>
      <w:tr w14:paraId="541AB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continue"/>
            <w:tcBorders>
              <w:left w:val="single" w:color="000000" w:sz="4" w:space="0"/>
              <w:right w:val="single" w:color="000000" w:sz="4" w:space="0"/>
            </w:tcBorders>
            <w:vAlign w:val="center"/>
          </w:tcPr>
          <w:p w14:paraId="163134EB">
            <w:pPr>
              <w:jc w:val="center"/>
              <w:rPr>
                <w:rFonts w:ascii="仿宋_GB2312" w:hAnsi="仿宋_GB2312" w:eastAsia="仿宋_GB2312" w:cs="仿宋_GB2312"/>
                <w:snapToGrid w:val="0"/>
                <w:spacing w:val="2"/>
                <w:sz w:val="18"/>
                <w:szCs w:val="18"/>
                <w:lang w:bidi="ar"/>
              </w:rPr>
            </w:pPr>
          </w:p>
        </w:tc>
        <w:tc>
          <w:tcPr>
            <w:tcW w:w="2589" w:type="dxa"/>
            <w:vMerge w:val="continue"/>
            <w:tcBorders>
              <w:left w:val="single" w:color="000000" w:sz="4" w:space="0"/>
              <w:right w:val="single" w:color="000000" w:sz="4" w:space="0"/>
            </w:tcBorders>
            <w:vAlign w:val="center"/>
          </w:tcPr>
          <w:p w14:paraId="5955712C">
            <w:pPr>
              <w:kinsoku w:val="0"/>
              <w:autoSpaceDE w:val="0"/>
              <w:autoSpaceDN w:val="0"/>
              <w:adjustRightInd w:val="0"/>
              <w:snapToGrid w:val="0"/>
              <w:spacing w:before="58" w:line="218" w:lineRule="auto"/>
              <w:jc w:val="left"/>
              <w:textAlignment w:val="baseline"/>
              <w:rPr>
                <w:rFonts w:ascii="仿宋_GB2312" w:hAnsi="仿宋_GB2312" w:eastAsia="仿宋_GB2312" w:cs="仿宋_GB2312"/>
                <w:snapToGrid w:val="0"/>
                <w:kern w:val="0"/>
                <w:sz w:val="18"/>
                <w:szCs w:val="18"/>
              </w:rPr>
            </w:pPr>
          </w:p>
        </w:tc>
        <w:tc>
          <w:tcPr>
            <w:tcW w:w="4673" w:type="dxa"/>
            <w:tcBorders>
              <w:top w:val="single" w:color="000000" w:sz="4" w:space="0"/>
              <w:left w:val="single" w:color="000000" w:sz="4" w:space="0"/>
              <w:bottom w:val="single" w:color="000000" w:sz="4" w:space="0"/>
              <w:right w:val="single" w:color="000000" w:sz="4" w:space="0"/>
            </w:tcBorders>
            <w:vAlign w:val="center"/>
          </w:tcPr>
          <w:p w14:paraId="6E2F3BCE">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kern w:val="0"/>
                <w:sz w:val="18"/>
                <w:szCs w:val="18"/>
              </w:rPr>
            </w:pPr>
            <w:r>
              <w:rPr>
                <w:rFonts w:hint="eastAsia" w:ascii="仿宋_GB2312" w:hAnsi="仿宋_GB2312" w:eastAsia="仿宋_GB2312" w:cs="仿宋_GB2312"/>
                <w:snapToGrid w:val="0"/>
                <w:kern w:val="0"/>
                <w:sz w:val="18"/>
                <w:szCs w:val="18"/>
              </w:rPr>
              <w:t>有功响应需求发布</w:t>
            </w:r>
          </w:p>
        </w:tc>
      </w:tr>
      <w:tr w14:paraId="69EEB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restart"/>
            <w:tcBorders>
              <w:top w:val="single" w:color="000000" w:sz="4" w:space="0"/>
              <w:left w:val="single" w:color="000000" w:sz="4" w:space="0"/>
              <w:right w:val="single" w:color="000000" w:sz="4" w:space="0"/>
            </w:tcBorders>
            <w:vAlign w:val="center"/>
          </w:tcPr>
          <w:p w14:paraId="59C55B77">
            <w:pPr>
              <w:jc w:val="center"/>
              <w:rPr>
                <w:rFonts w:ascii="仿宋_GB2312" w:hAnsi="仿宋_GB2312" w:eastAsia="仿宋_GB2312" w:cs="仿宋_GB2312"/>
                <w:snapToGrid w:val="0"/>
                <w:color w:val="FF0000"/>
                <w:spacing w:val="2"/>
                <w:sz w:val="18"/>
                <w:szCs w:val="18"/>
                <w:lang w:bidi="ar"/>
              </w:rPr>
            </w:pPr>
            <w:r>
              <w:rPr>
                <w:rFonts w:hint="eastAsia" w:ascii="仿宋_GB2312" w:hAnsi="仿宋_GB2312" w:eastAsia="仿宋_GB2312" w:cs="仿宋_GB2312"/>
                <w:snapToGrid w:val="0"/>
                <w:kern w:val="0"/>
                <w:sz w:val="18"/>
                <w:szCs w:val="18"/>
                <w:lang w:bidi="ar"/>
              </w:rPr>
              <w:t>响应数据申报</w:t>
            </w:r>
          </w:p>
        </w:tc>
        <w:tc>
          <w:tcPr>
            <w:tcW w:w="2589" w:type="dxa"/>
            <w:vMerge w:val="restart"/>
            <w:tcBorders>
              <w:top w:val="single" w:color="000000" w:sz="4" w:space="0"/>
              <w:left w:val="single" w:color="000000" w:sz="4" w:space="0"/>
              <w:right w:val="single" w:color="000000" w:sz="4" w:space="0"/>
            </w:tcBorders>
            <w:vAlign w:val="center"/>
          </w:tcPr>
          <w:p w14:paraId="69072716">
            <w:pPr>
              <w:kinsoku w:val="0"/>
              <w:autoSpaceDE w:val="0"/>
              <w:autoSpaceDN w:val="0"/>
              <w:adjustRightInd w:val="0"/>
              <w:snapToGrid w:val="0"/>
              <w:spacing w:before="58" w:line="218" w:lineRule="auto"/>
              <w:jc w:val="center"/>
              <w:textAlignment w:val="baseline"/>
              <w:rPr>
                <w:rFonts w:ascii="仿宋_GB2312" w:hAnsi="仿宋_GB2312" w:eastAsia="仿宋_GB2312" w:cs="仿宋_GB2312"/>
                <w:snapToGrid w:val="0"/>
                <w:color w:val="FF0000"/>
                <w:kern w:val="0"/>
                <w:sz w:val="18"/>
                <w:szCs w:val="18"/>
                <w:lang w:eastAsia="en-US"/>
              </w:rPr>
            </w:pPr>
            <w:r>
              <w:rPr>
                <w:rFonts w:hint="eastAsia" w:ascii="仿宋_GB2312" w:hAnsi="仿宋_GB2312" w:eastAsia="仿宋_GB2312" w:cs="仿宋_GB2312"/>
                <w:snapToGrid w:val="0"/>
                <w:kern w:val="0"/>
                <w:sz w:val="18"/>
                <w:szCs w:val="18"/>
                <w:lang w:bidi="ar"/>
              </w:rPr>
              <w:t>响应申报信息</w:t>
            </w:r>
          </w:p>
        </w:tc>
        <w:tc>
          <w:tcPr>
            <w:tcW w:w="4673" w:type="dxa"/>
            <w:tcBorders>
              <w:top w:val="single" w:color="000000" w:sz="4" w:space="0"/>
              <w:left w:val="single" w:color="000000" w:sz="4" w:space="0"/>
              <w:bottom w:val="single" w:color="000000" w:sz="4" w:space="0"/>
              <w:right w:val="single" w:color="000000" w:sz="4" w:space="0"/>
            </w:tcBorders>
            <w:vAlign w:val="center"/>
          </w:tcPr>
          <w:p w14:paraId="1F30C676">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kern w:val="0"/>
                <w:sz w:val="18"/>
                <w:szCs w:val="18"/>
                <w:lang w:bidi="ar"/>
              </w:rPr>
              <w:t>备用服务申报</w:t>
            </w:r>
          </w:p>
        </w:tc>
      </w:tr>
      <w:tr w14:paraId="04826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continue"/>
            <w:tcBorders>
              <w:top w:val="single" w:color="000000" w:sz="4" w:space="0"/>
              <w:left w:val="single" w:color="000000" w:sz="4" w:space="0"/>
              <w:right w:val="single" w:color="000000" w:sz="4" w:space="0"/>
            </w:tcBorders>
            <w:vAlign w:val="center"/>
          </w:tcPr>
          <w:p w14:paraId="76384445">
            <w:pPr>
              <w:jc w:val="center"/>
              <w:rPr>
                <w:rFonts w:ascii="仿宋_GB2312" w:hAnsi="仿宋_GB2312" w:eastAsia="仿宋_GB2312" w:cs="仿宋_GB2312"/>
                <w:snapToGrid w:val="0"/>
                <w:kern w:val="0"/>
                <w:sz w:val="18"/>
                <w:szCs w:val="18"/>
                <w:lang w:bidi="ar"/>
              </w:rPr>
            </w:pPr>
          </w:p>
        </w:tc>
        <w:tc>
          <w:tcPr>
            <w:tcW w:w="2589" w:type="dxa"/>
            <w:vMerge w:val="continue"/>
            <w:tcBorders>
              <w:top w:val="single" w:color="000000" w:sz="4" w:space="0"/>
              <w:left w:val="single" w:color="000000" w:sz="4" w:space="0"/>
              <w:right w:val="single" w:color="000000" w:sz="4" w:space="0"/>
            </w:tcBorders>
            <w:vAlign w:val="center"/>
          </w:tcPr>
          <w:p w14:paraId="5165BC4A">
            <w:pPr>
              <w:kinsoku w:val="0"/>
              <w:autoSpaceDE w:val="0"/>
              <w:autoSpaceDN w:val="0"/>
              <w:adjustRightInd w:val="0"/>
              <w:snapToGrid w:val="0"/>
              <w:spacing w:before="58" w:line="218" w:lineRule="auto"/>
              <w:jc w:val="left"/>
              <w:textAlignment w:val="baseline"/>
              <w:rPr>
                <w:rFonts w:ascii="仿宋_GB2312" w:hAnsi="仿宋_GB2312" w:eastAsia="仿宋_GB2312" w:cs="仿宋_GB2312"/>
                <w:snapToGrid w:val="0"/>
                <w:kern w:val="0"/>
                <w:sz w:val="18"/>
                <w:szCs w:val="18"/>
                <w:lang w:bidi="ar"/>
              </w:rPr>
            </w:pPr>
          </w:p>
        </w:tc>
        <w:tc>
          <w:tcPr>
            <w:tcW w:w="4673" w:type="dxa"/>
            <w:tcBorders>
              <w:top w:val="single" w:color="000000" w:sz="4" w:space="0"/>
              <w:left w:val="single" w:color="000000" w:sz="4" w:space="0"/>
              <w:bottom w:val="single" w:color="000000" w:sz="4" w:space="0"/>
              <w:right w:val="single" w:color="000000" w:sz="4" w:space="0"/>
            </w:tcBorders>
            <w:vAlign w:val="center"/>
          </w:tcPr>
          <w:p w14:paraId="18AD2E06">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kern w:val="0"/>
                <w:sz w:val="18"/>
                <w:szCs w:val="18"/>
                <w:lang w:bidi="ar"/>
              </w:rPr>
            </w:pPr>
            <w:r>
              <w:rPr>
                <w:rFonts w:hint="eastAsia" w:ascii="仿宋_GB2312" w:hAnsi="仿宋_GB2312" w:eastAsia="仿宋_GB2312" w:cs="仿宋_GB2312"/>
                <w:snapToGrid w:val="0"/>
                <w:kern w:val="0"/>
                <w:sz w:val="18"/>
                <w:szCs w:val="18"/>
                <w:lang w:bidi="ar"/>
              </w:rPr>
              <w:t>日前备用报送</w:t>
            </w:r>
          </w:p>
        </w:tc>
      </w:tr>
      <w:tr w14:paraId="4E952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continue"/>
            <w:tcBorders>
              <w:top w:val="single" w:color="000000" w:sz="4" w:space="0"/>
              <w:left w:val="single" w:color="000000" w:sz="4" w:space="0"/>
              <w:right w:val="single" w:color="000000" w:sz="4" w:space="0"/>
            </w:tcBorders>
            <w:vAlign w:val="center"/>
          </w:tcPr>
          <w:p w14:paraId="71669931">
            <w:pPr>
              <w:jc w:val="center"/>
              <w:rPr>
                <w:rFonts w:ascii="仿宋_GB2312" w:hAnsi="仿宋_GB2312" w:eastAsia="仿宋_GB2312" w:cs="仿宋_GB2312"/>
                <w:snapToGrid w:val="0"/>
                <w:kern w:val="0"/>
                <w:sz w:val="18"/>
                <w:szCs w:val="18"/>
                <w:lang w:bidi="ar"/>
              </w:rPr>
            </w:pPr>
          </w:p>
        </w:tc>
        <w:tc>
          <w:tcPr>
            <w:tcW w:w="2589" w:type="dxa"/>
            <w:vMerge w:val="continue"/>
            <w:tcBorders>
              <w:top w:val="single" w:color="000000" w:sz="4" w:space="0"/>
              <w:left w:val="single" w:color="000000" w:sz="4" w:space="0"/>
              <w:right w:val="single" w:color="000000" w:sz="4" w:space="0"/>
            </w:tcBorders>
            <w:vAlign w:val="center"/>
          </w:tcPr>
          <w:p w14:paraId="4621B577">
            <w:pPr>
              <w:kinsoku w:val="0"/>
              <w:autoSpaceDE w:val="0"/>
              <w:autoSpaceDN w:val="0"/>
              <w:adjustRightInd w:val="0"/>
              <w:snapToGrid w:val="0"/>
              <w:spacing w:before="58" w:line="218" w:lineRule="auto"/>
              <w:jc w:val="left"/>
              <w:textAlignment w:val="baseline"/>
              <w:rPr>
                <w:rFonts w:ascii="仿宋_GB2312" w:hAnsi="仿宋_GB2312" w:eastAsia="仿宋_GB2312" w:cs="仿宋_GB2312"/>
                <w:snapToGrid w:val="0"/>
                <w:kern w:val="0"/>
                <w:sz w:val="18"/>
                <w:szCs w:val="18"/>
                <w:lang w:bidi="ar"/>
              </w:rPr>
            </w:pPr>
          </w:p>
        </w:tc>
        <w:tc>
          <w:tcPr>
            <w:tcW w:w="4673" w:type="dxa"/>
            <w:tcBorders>
              <w:top w:val="single" w:color="000000" w:sz="4" w:space="0"/>
              <w:left w:val="single" w:color="000000" w:sz="4" w:space="0"/>
              <w:bottom w:val="single" w:color="000000" w:sz="4" w:space="0"/>
              <w:right w:val="single" w:color="000000" w:sz="4" w:space="0"/>
            </w:tcBorders>
            <w:vAlign w:val="center"/>
          </w:tcPr>
          <w:p w14:paraId="1E5D77E4">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kern w:val="0"/>
                <w:sz w:val="18"/>
                <w:szCs w:val="18"/>
                <w:lang w:bidi="ar"/>
              </w:rPr>
            </w:pPr>
            <w:r>
              <w:rPr>
                <w:rFonts w:hint="eastAsia" w:ascii="仿宋_GB2312" w:hAnsi="仿宋_GB2312" w:eastAsia="仿宋_GB2312" w:cs="仿宋_GB2312"/>
                <w:snapToGrid w:val="0"/>
                <w:kern w:val="0"/>
                <w:sz w:val="18"/>
                <w:szCs w:val="18"/>
                <w:lang w:bidi="ar"/>
              </w:rPr>
              <w:t>有功响应申报</w:t>
            </w:r>
          </w:p>
        </w:tc>
      </w:tr>
      <w:tr w14:paraId="47072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continue"/>
            <w:tcBorders>
              <w:left w:val="single" w:color="000000" w:sz="4" w:space="0"/>
              <w:right w:val="single" w:color="000000" w:sz="4" w:space="0"/>
            </w:tcBorders>
            <w:vAlign w:val="center"/>
          </w:tcPr>
          <w:p w14:paraId="2D89A1E8">
            <w:pPr>
              <w:jc w:val="center"/>
              <w:rPr>
                <w:rFonts w:ascii="仿宋_GB2312" w:hAnsi="仿宋_GB2312" w:eastAsia="仿宋_GB2312" w:cs="仿宋_GB2312"/>
                <w:snapToGrid w:val="0"/>
                <w:kern w:val="0"/>
                <w:sz w:val="18"/>
                <w:szCs w:val="18"/>
                <w:lang w:bidi="ar"/>
              </w:rPr>
            </w:pPr>
          </w:p>
        </w:tc>
        <w:tc>
          <w:tcPr>
            <w:tcW w:w="2589" w:type="dxa"/>
            <w:vMerge w:val="continue"/>
            <w:tcBorders>
              <w:left w:val="single" w:color="000000" w:sz="4" w:space="0"/>
              <w:right w:val="single" w:color="000000" w:sz="4" w:space="0"/>
            </w:tcBorders>
            <w:vAlign w:val="center"/>
          </w:tcPr>
          <w:p w14:paraId="2CDC6021">
            <w:pPr>
              <w:kinsoku w:val="0"/>
              <w:autoSpaceDE w:val="0"/>
              <w:autoSpaceDN w:val="0"/>
              <w:adjustRightInd w:val="0"/>
              <w:snapToGrid w:val="0"/>
              <w:spacing w:before="58" w:line="218" w:lineRule="auto"/>
              <w:jc w:val="left"/>
              <w:textAlignment w:val="baseline"/>
              <w:rPr>
                <w:rFonts w:ascii="仿宋_GB2312" w:hAnsi="仿宋_GB2312" w:eastAsia="仿宋_GB2312" w:cs="仿宋_GB2312"/>
                <w:snapToGrid w:val="0"/>
                <w:kern w:val="0"/>
                <w:sz w:val="18"/>
                <w:szCs w:val="18"/>
                <w:lang w:bidi="ar"/>
              </w:rPr>
            </w:pPr>
          </w:p>
        </w:tc>
        <w:tc>
          <w:tcPr>
            <w:tcW w:w="4673" w:type="dxa"/>
            <w:tcBorders>
              <w:top w:val="single" w:color="000000" w:sz="4" w:space="0"/>
              <w:left w:val="single" w:color="000000" w:sz="4" w:space="0"/>
              <w:bottom w:val="single" w:color="000000" w:sz="4" w:space="0"/>
              <w:right w:val="single" w:color="000000" w:sz="4" w:space="0"/>
            </w:tcBorders>
            <w:vAlign w:val="center"/>
          </w:tcPr>
          <w:p w14:paraId="50437D78">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kern w:val="0"/>
                <w:sz w:val="18"/>
                <w:szCs w:val="18"/>
                <w:lang w:bidi="ar"/>
              </w:rPr>
            </w:pPr>
            <w:r>
              <w:rPr>
                <w:rFonts w:hint="eastAsia" w:ascii="仿宋_GB2312" w:hAnsi="仿宋_GB2312" w:eastAsia="仿宋_GB2312" w:cs="仿宋_GB2312"/>
                <w:snapToGrid w:val="0"/>
                <w:kern w:val="0"/>
                <w:sz w:val="18"/>
                <w:szCs w:val="18"/>
                <w:lang w:bidi="ar"/>
              </w:rPr>
              <w:t>异常回复</w:t>
            </w:r>
          </w:p>
        </w:tc>
      </w:tr>
      <w:tr w14:paraId="178F9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restart"/>
            <w:tcBorders>
              <w:top w:val="single" w:color="000000" w:sz="4" w:space="0"/>
              <w:left w:val="single" w:color="000000" w:sz="4" w:space="0"/>
              <w:right w:val="single" w:color="000000" w:sz="4" w:space="0"/>
            </w:tcBorders>
            <w:vAlign w:val="center"/>
          </w:tcPr>
          <w:p w14:paraId="37926A07">
            <w:pPr>
              <w:jc w:val="center"/>
              <w:rPr>
                <w:rFonts w:ascii="仿宋_GB2312" w:hAnsi="仿宋_GB2312" w:eastAsia="仿宋_GB2312" w:cs="仿宋_GB2312"/>
                <w:snapToGrid w:val="0"/>
                <w:spacing w:val="2"/>
                <w:sz w:val="18"/>
                <w:szCs w:val="18"/>
                <w:lang w:bidi="ar"/>
              </w:rPr>
            </w:pPr>
            <w:r>
              <w:rPr>
                <w:rFonts w:hint="eastAsia" w:ascii="仿宋_GB2312" w:hAnsi="仿宋_GB2312" w:eastAsia="仿宋_GB2312" w:cs="仿宋_GB2312"/>
                <w:snapToGrid w:val="0"/>
                <w:spacing w:val="2"/>
                <w:sz w:val="18"/>
                <w:szCs w:val="18"/>
                <w:lang w:bidi="ar"/>
              </w:rPr>
              <w:t>响应确认发布</w:t>
            </w:r>
          </w:p>
        </w:tc>
        <w:tc>
          <w:tcPr>
            <w:tcW w:w="2589" w:type="dxa"/>
            <w:vMerge w:val="restart"/>
            <w:tcBorders>
              <w:top w:val="single" w:color="000000" w:sz="4" w:space="0"/>
              <w:left w:val="single" w:color="000000" w:sz="4" w:space="0"/>
              <w:right w:val="single" w:color="000000" w:sz="4" w:space="0"/>
            </w:tcBorders>
            <w:vAlign w:val="center"/>
          </w:tcPr>
          <w:p w14:paraId="16B4298F">
            <w:pPr>
              <w:kinsoku w:val="0"/>
              <w:autoSpaceDE w:val="0"/>
              <w:autoSpaceDN w:val="0"/>
              <w:adjustRightInd w:val="0"/>
              <w:snapToGrid w:val="0"/>
              <w:spacing w:before="58" w:line="218" w:lineRule="auto"/>
              <w:jc w:val="left"/>
              <w:textAlignment w:val="baseline"/>
              <w:rPr>
                <w:rFonts w:ascii="仿宋_GB2312" w:hAnsi="仿宋_GB2312" w:eastAsia="仿宋_GB2312" w:cs="仿宋_GB2312"/>
                <w:snapToGrid w:val="0"/>
                <w:kern w:val="0"/>
                <w:sz w:val="18"/>
                <w:szCs w:val="18"/>
              </w:rPr>
            </w:pPr>
            <w:r>
              <w:rPr>
                <w:rFonts w:hint="eastAsia" w:ascii="仿宋_GB2312" w:hAnsi="仿宋_GB2312" w:eastAsia="仿宋_GB2312" w:cs="仿宋_GB2312"/>
                <w:snapToGrid w:val="0"/>
                <w:kern w:val="0"/>
                <w:sz w:val="18"/>
                <w:szCs w:val="18"/>
              </w:rPr>
              <w:t>日前/日内/无功/备用</w:t>
            </w:r>
          </w:p>
        </w:tc>
        <w:tc>
          <w:tcPr>
            <w:tcW w:w="4673" w:type="dxa"/>
            <w:tcBorders>
              <w:top w:val="single" w:color="000000" w:sz="4" w:space="0"/>
              <w:left w:val="single" w:color="000000" w:sz="4" w:space="0"/>
              <w:bottom w:val="single" w:color="000000" w:sz="4" w:space="0"/>
              <w:right w:val="single" w:color="000000" w:sz="4" w:space="0"/>
            </w:tcBorders>
            <w:vAlign w:val="center"/>
          </w:tcPr>
          <w:p w14:paraId="2AAF7171">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w:t>
            </w:r>
            <w:r>
              <w:rPr>
                <w:rFonts w:hint="eastAsia" w:ascii="仿宋_GB2312" w:hAnsi="仿宋_GB2312" w:eastAsia="仿宋_GB2312" w:cs="仿宋_GB2312"/>
                <w:snapToGrid w:val="0"/>
                <w:spacing w:val="-2"/>
                <w:kern w:val="0"/>
                <w:sz w:val="18"/>
                <w:szCs w:val="18"/>
                <w:lang w:val="en-US" w:eastAsia="zh-CN" w:bidi="ar"/>
              </w:rPr>
              <w:t>资源</w:t>
            </w:r>
            <w:r>
              <w:rPr>
                <w:rFonts w:hint="eastAsia" w:ascii="仿宋_GB2312" w:hAnsi="仿宋_GB2312" w:eastAsia="仿宋_GB2312" w:cs="仿宋_GB2312"/>
                <w:snapToGrid w:val="0"/>
                <w:spacing w:val="-2"/>
                <w:kern w:val="0"/>
                <w:sz w:val="18"/>
                <w:szCs w:val="18"/>
                <w:lang w:bidi="ar"/>
              </w:rPr>
              <w:t>确认</w:t>
            </w:r>
          </w:p>
        </w:tc>
      </w:tr>
      <w:tr w14:paraId="507B6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continue"/>
            <w:tcBorders>
              <w:top w:val="single" w:color="000000" w:sz="4" w:space="0"/>
              <w:left w:val="single" w:color="000000" w:sz="4" w:space="0"/>
              <w:right w:val="single" w:color="000000" w:sz="4" w:space="0"/>
            </w:tcBorders>
            <w:vAlign w:val="center"/>
          </w:tcPr>
          <w:p w14:paraId="4C49CCB5">
            <w:pPr>
              <w:jc w:val="center"/>
              <w:rPr>
                <w:rFonts w:ascii="仿宋_GB2312" w:hAnsi="仿宋_GB2312" w:eastAsia="仿宋_GB2312" w:cs="仿宋_GB2312"/>
                <w:snapToGrid w:val="0"/>
                <w:spacing w:val="2"/>
                <w:sz w:val="18"/>
                <w:szCs w:val="18"/>
                <w:lang w:bidi="ar"/>
              </w:rPr>
            </w:pPr>
          </w:p>
        </w:tc>
        <w:tc>
          <w:tcPr>
            <w:tcW w:w="2589" w:type="dxa"/>
            <w:vMerge w:val="continue"/>
            <w:tcBorders>
              <w:top w:val="single" w:color="000000" w:sz="4" w:space="0"/>
              <w:left w:val="single" w:color="000000" w:sz="4" w:space="0"/>
              <w:right w:val="single" w:color="000000" w:sz="4" w:space="0"/>
            </w:tcBorders>
            <w:vAlign w:val="center"/>
          </w:tcPr>
          <w:p w14:paraId="55630DF8">
            <w:pPr>
              <w:kinsoku w:val="0"/>
              <w:autoSpaceDE w:val="0"/>
              <w:autoSpaceDN w:val="0"/>
              <w:adjustRightInd w:val="0"/>
              <w:snapToGrid w:val="0"/>
              <w:spacing w:before="58" w:line="218" w:lineRule="auto"/>
              <w:jc w:val="left"/>
              <w:textAlignment w:val="baseline"/>
              <w:rPr>
                <w:rFonts w:ascii="仿宋_GB2312" w:hAnsi="仿宋_GB2312" w:eastAsia="仿宋_GB2312" w:cs="仿宋_GB2312"/>
                <w:snapToGrid w:val="0"/>
                <w:kern w:val="0"/>
                <w:sz w:val="18"/>
                <w:szCs w:val="18"/>
              </w:rPr>
            </w:pPr>
          </w:p>
        </w:tc>
        <w:tc>
          <w:tcPr>
            <w:tcW w:w="4673" w:type="dxa"/>
            <w:tcBorders>
              <w:top w:val="single" w:color="000000" w:sz="4" w:space="0"/>
              <w:left w:val="single" w:color="000000" w:sz="4" w:space="0"/>
              <w:bottom w:val="single" w:color="000000" w:sz="4" w:space="0"/>
              <w:right w:val="single" w:color="000000" w:sz="4" w:space="0"/>
            </w:tcBorders>
            <w:vAlign w:val="center"/>
          </w:tcPr>
          <w:p w14:paraId="4ADAE8EA">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有功响应确认</w:t>
            </w:r>
          </w:p>
        </w:tc>
      </w:tr>
      <w:tr w14:paraId="3AF5A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continue"/>
            <w:tcBorders>
              <w:left w:val="single" w:color="000000" w:sz="4" w:space="0"/>
              <w:right w:val="single" w:color="000000" w:sz="4" w:space="0"/>
            </w:tcBorders>
            <w:vAlign w:val="center"/>
          </w:tcPr>
          <w:p w14:paraId="42AD6ED7">
            <w:pPr>
              <w:keepNext/>
              <w:keepLines/>
              <w:tabs>
                <w:tab w:val="left" w:pos="0"/>
              </w:tabs>
              <w:kinsoku w:val="0"/>
              <w:autoSpaceDE w:val="0"/>
              <w:autoSpaceDN w:val="0"/>
              <w:adjustRightInd w:val="0"/>
              <w:snapToGrid w:val="0"/>
              <w:spacing w:before="104" w:line="360" w:lineRule="auto"/>
              <w:jc w:val="left"/>
              <w:textAlignment w:val="baseline"/>
              <w:outlineLvl w:val="1"/>
              <w:rPr>
                <w:rFonts w:ascii="黑体" w:hAnsi="黑体" w:eastAsia="黑体" w:cs="黑体"/>
                <w:sz w:val="28"/>
                <w:szCs w:val="28"/>
              </w:rPr>
            </w:pPr>
          </w:p>
        </w:tc>
        <w:tc>
          <w:tcPr>
            <w:tcW w:w="2589" w:type="dxa"/>
            <w:vMerge w:val="continue"/>
            <w:tcBorders>
              <w:left w:val="single" w:color="000000" w:sz="4" w:space="0"/>
              <w:right w:val="single" w:color="000000" w:sz="4" w:space="0"/>
            </w:tcBorders>
            <w:vAlign w:val="center"/>
          </w:tcPr>
          <w:p w14:paraId="71BB1850">
            <w:pPr>
              <w:keepNext/>
              <w:keepLines/>
              <w:tabs>
                <w:tab w:val="left" w:pos="0"/>
              </w:tabs>
              <w:kinsoku w:val="0"/>
              <w:autoSpaceDE w:val="0"/>
              <w:autoSpaceDN w:val="0"/>
              <w:adjustRightInd w:val="0"/>
              <w:snapToGrid w:val="0"/>
              <w:spacing w:before="104" w:line="360" w:lineRule="auto"/>
              <w:jc w:val="left"/>
              <w:textAlignment w:val="baseline"/>
              <w:outlineLvl w:val="1"/>
              <w:rPr>
                <w:rFonts w:ascii="黑体" w:hAnsi="黑体" w:eastAsia="黑体" w:cs="黑体"/>
                <w:sz w:val="28"/>
                <w:szCs w:val="28"/>
              </w:rPr>
            </w:pPr>
          </w:p>
        </w:tc>
        <w:tc>
          <w:tcPr>
            <w:tcW w:w="4673" w:type="dxa"/>
            <w:tcBorders>
              <w:top w:val="single" w:color="000000" w:sz="4" w:space="0"/>
              <w:left w:val="single" w:color="000000" w:sz="4" w:space="0"/>
              <w:bottom w:val="single" w:color="000000" w:sz="4" w:space="0"/>
              <w:right w:val="single" w:color="000000" w:sz="4" w:space="0"/>
            </w:tcBorders>
            <w:vAlign w:val="center"/>
          </w:tcPr>
          <w:p w14:paraId="507F1A48">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实时调节下发</w:t>
            </w:r>
          </w:p>
        </w:tc>
      </w:tr>
      <w:tr w14:paraId="3E035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restart"/>
            <w:tcBorders>
              <w:top w:val="single" w:color="000000" w:sz="4" w:space="0"/>
              <w:left w:val="single" w:color="000000" w:sz="4" w:space="0"/>
              <w:right w:val="single" w:color="000000" w:sz="4" w:space="0"/>
            </w:tcBorders>
            <w:vAlign w:val="center"/>
          </w:tcPr>
          <w:p w14:paraId="5F205D27">
            <w:pPr>
              <w:spacing w:line="560" w:lineRule="exact"/>
              <w:jc w:val="center"/>
              <w:rPr>
                <w:rFonts w:ascii="Times New Roman" w:hAnsi="Times New Roman" w:eastAsia="宋体" w:cs="Times New Roman"/>
                <w:sz w:val="20"/>
                <w:szCs w:val="20"/>
              </w:rPr>
            </w:pPr>
            <w:r>
              <w:rPr>
                <w:rFonts w:hint="eastAsia" w:ascii="仿宋_GB2312" w:hAnsi="仿宋_GB2312" w:eastAsia="仿宋_GB2312" w:cs="仿宋_GB2312"/>
                <w:snapToGrid w:val="0"/>
                <w:spacing w:val="2"/>
                <w:sz w:val="18"/>
                <w:szCs w:val="18"/>
                <w:lang w:eastAsia="en-US" w:bidi="ar"/>
              </w:rPr>
              <w:t>运行数据监测</w:t>
            </w:r>
          </w:p>
        </w:tc>
        <w:tc>
          <w:tcPr>
            <w:tcW w:w="2589" w:type="dxa"/>
            <w:vMerge w:val="restart"/>
            <w:tcBorders>
              <w:top w:val="single" w:color="000000" w:sz="4" w:space="0"/>
              <w:left w:val="single" w:color="000000" w:sz="4" w:space="0"/>
              <w:right w:val="single" w:color="000000" w:sz="4" w:space="0"/>
            </w:tcBorders>
            <w:vAlign w:val="center"/>
          </w:tcPr>
          <w:p w14:paraId="5317E695">
            <w:pPr>
              <w:kinsoku w:val="0"/>
              <w:autoSpaceDE w:val="0"/>
              <w:autoSpaceDN w:val="0"/>
              <w:adjustRightInd w:val="0"/>
              <w:snapToGrid w:val="0"/>
              <w:spacing w:before="292" w:line="218" w:lineRule="auto"/>
              <w:ind w:left="62"/>
              <w:jc w:val="left"/>
              <w:textAlignment w:val="baseline"/>
              <w:rPr>
                <w:rFonts w:ascii="仿宋_GB2312" w:hAnsi="仿宋_GB2312" w:eastAsia="仿宋_GB2312" w:cs="仿宋_GB2312"/>
                <w:snapToGrid w:val="0"/>
                <w:spacing w:val="1"/>
                <w:kern w:val="0"/>
                <w:sz w:val="18"/>
                <w:szCs w:val="18"/>
                <w:lang w:eastAsia="en-US" w:bidi="ar"/>
              </w:rPr>
            </w:pPr>
            <w:r>
              <w:rPr>
                <w:rFonts w:hint="eastAsia" w:ascii="仿宋_GB2312" w:hAnsi="仿宋_GB2312" w:eastAsia="仿宋_GB2312" w:cs="仿宋_GB2312"/>
                <w:snapToGrid w:val="0"/>
                <w:spacing w:val="1"/>
                <w:kern w:val="0"/>
                <w:sz w:val="18"/>
                <w:szCs w:val="18"/>
                <w:lang w:eastAsia="en-US" w:bidi="ar"/>
              </w:rPr>
              <w:t>数据</w:t>
            </w:r>
            <w:r>
              <w:rPr>
                <w:rFonts w:hint="eastAsia" w:ascii="仿宋_GB2312" w:hAnsi="仿宋_GB2312" w:eastAsia="仿宋_GB2312" w:cs="仿宋_GB2312"/>
                <w:snapToGrid w:val="0"/>
                <w:spacing w:val="1"/>
                <w:kern w:val="0"/>
                <w:sz w:val="18"/>
                <w:szCs w:val="18"/>
                <w:lang w:bidi="ar"/>
              </w:rPr>
              <w:t>采集与</w:t>
            </w:r>
            <w:r>
              <w:rPr>
                <w:rFonts w:hint="eastAsia" w:ascii="仿宋_GB2312" w:hAnsi="仿宋_GB2312" w:eastAsia="仿宋_GB2312" w:cs="仿宋_GB2312"/>
                <w:snapToGrid w:val="0"/>
                <w:spacing w:val="1"/>
                <w:kern w:val="0"/>
                <w:sz w:val="18"/>
                <w:szCs w:val="18"/>
                <w:lang w:eastAsia="en-US" w:bidi="ar"/>
              </w:rPr>
              <w:t>召测</w:t>
            </w:r>
          </w:p>
          <w:p w14:paraId="0C675661">
            <w:pPr>
              <w:kinsoku w:val="0"/>
              <w:autoSpaceDE w:val="0"/>
              <w:autoSpaceDN w:val="0"/>
              <w:adjustRightInd w:val="0"/>
              <w:snapToGrid w:val="0"/>
              <w:spacing w:before="58" w:line="218" w:lineRule="auto"/>
              <w:textAlignment w:val="baseline"/>
              <w:rPr>
                <w:rFonts w:ascii="仿宋_GB2312" w:hAnsi="仿宋_GB2312" w:eastAsia="仿宋_GB2312" w:cs="仿宋_GB2312"/>
                <w:snapToGrid w:val="0"/>
                <w:kern w:val="0"/>
                <w:sz w:val="18"/>
                <w:szCs w:val="18"/>
                <w:lang w:eastAsia="en-US"/>
              </w:rPr>
            </w:pPr>
          </w:p>
        </w:tc>
        <w:tc>
          <w:tcPr>
            <w:tcW w:w="4673" w:type="dxa"/>
            <w:tcBorders>
              <w:top w:val="single" w:color="000000" w:sz="4" w:space="0"/>
              <w:left w:val="single" w:color="000000" w:sz="4" w:space="0"/>
              <w:bottom w:val="single" w:color="000000" w:sz="4" w:space="0"/>
              <w:right w:val="single" w:color="000000" w:sz="4" w:space="0"/>
            </w:tcBorders>
            <w:vAlign w:val="center"/>
          </w:tcPr>
          <w:p w14:paraId="1C6080C5">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kern w:val="0"/>
                <w:sz w:val="18"/>
                <w:szCs w:val="18"/>
                <w:lang w:eastAsia="en-US"/>
              </w:rPr>
            </w:pPr>
            <w:r>
              <w:rPr>
                <w:rFonts w:hint="eastAsia" w:ascii="仿宋_GB2312" w:hAnsi="仿宋_GB2312" w:eastAsia="仿宋_GB2312" w:cs="仿宋_GB2312"/>
                <w:snapToGrid w:val="0"/>
                <w:spacing w:val="-2"/>
                <w:kern w:val="0"/>
                <w:sz w:val="18"/>
                <w:szCs w:val="18"/>
                <w:lang w:bidi="ar"/>
              </w:rPr>
              <w:t>运行</w:t>
            </w:r>
            <w:r>
              <w:rPr>
                <w:rFonts w:hint="eastAsia" w:ascii="仿宋_GB2312" w:hAnsi="仿宋_GB2312" w:eastAsia="仿宋_GB2312" w:cs="仿宋_GB2312"/>
                <w:snapToGrid w:val="0"/>
                <w:spacing w:val="-2"/>
                <w:kern w:val="0"/>
                <w:sz w:val="18"/>
                <w:szCs w:val="18"/>
                <w:lang w:eastAsia="en-US" w:bidi="ar"/>
              </w:rPr>
              <w:t>负荷数据</w:t>
            </w:r>
          </w:p>
        </w:tc>
      </w:tr>
      <w:tr w14:paraId="5AB72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exact"/>
          <w:jc w:val="center"/>
        </w:trPr>
        <w:tc>
          <w:tcPr>
            <w:tcW w:w="1407" w:type="dxa"/>
            <w:vMerge w:val="continue"/>
            <w:tcBorders>
              <w:top w:val="single" w:color="000000" w:sz="4" w:space="0"/>
              <w:left w:val="single" w:color="000000" w:sz="4" w:space="0"/>
              <w:bottom w:val="single" w:color="000000" w:sz="4" w:space="0"/>
              <w:right w:val="single" w:color="000000" w:sz="4" w:space="0"/>
            </w:tcBorders>
          </w:tcPr>
          <w:p w14:paraId="525296A7">
            <w:pPr>
              <w:spacing w:line="560" w:lineRule="exact"/>
              <w:ind w:firstLine="400" w:firstLineChars="200"/>
              <w:jc w:val="center"/>
              <w:rPr>
                <w:rFonts w:ascii="Times New Roman" w:hAnsi="Times New Roman" w:eastAsia="仿宋_GB2312" w:cs="Times New Roman"/>
                <w:sz w:val="20"/>
                <w:szCs w:val="20"/>
              </w:rPr>
            </w:pPr>
          </w:p>
        </w:tc>
        <w:tc>
          <w:tcPr>
            <w:tcW w:w="2589" w:type="dxa"/>
            <w:vMerge w:val="continue"/>
            <w:tcBorders>
              <w:left w:val="single" w:color="000000" w:sz="4" w:space="0"/>
              <w:right w:val="single" w:color="000000" w:sz="4" w:space="0"/>
            </w:tcBorders>
          </w:tcPr>
          <w:p w14:paraId="1182E476">
            <w:pPr>
              <w:spacing w:line="560" w:lineRule="exact"/>
              <w:ind w:firstLine="400" w:firstLineChars="200"/>
              <w:rPr>
                <w:rFonts w:ascii="Times New Roman" w:hAnsi="Times New Roman" w:eastAsia="仿宋_GB2312" w:cs="Times New Roman"/>
                <w:sz w:val="20"/>
                <w:szCs w:val="20"/>
              </w:rPr>
            </w:pPr>
          </w:p>
        </w:tc>
        <w:tc>
          <w:tcPr>
            <w:tcW w:w="4673" w:type="dxa"/>
            <w:tcBorders>
              <w:top w:val="single" w:color="000000" w:sz="4" w:space="0"/>
              <w:left w:val="single" w:color="000000" w:sz="4" w:space="0"/>
              <w:bottom w:val="single" w:color="000000" w:sz="4" w:space="0"/>
              <w:right w:val="single" w:color="000000" w:sz="4" w:space="0"/>
            </w:tcBorders>
            <w:vAlign w:val="center"/>
          </w:tcPr>
          <w:p w14:paraId="195F48A5">
            <w:pPr>
              <w:kinsoku w:val="0"/>
              <w:autoSpaceDE w:val="0"/>
              <w:autoSpaceDN w:val="0"/>
              <w:adjustRightInd w:val="0"/>
              <w:snapToGrid w:val="0"/>
              <w:spacing w:before="104" w:line="218" w:lineRule="auto"/>
              <w:ind w:left="75"/>
              <w:textAlignment w:val="baseline"/>
              <w:rPr>
                <w:rFonts w:ascii="仿宋_GB2312" w:hAnsi="仿宋_GB2312" w:eastAsia="仿宋_GB2312" w:cs="仿宋_GB2312"/>
                <w:snapToGrid w:val="0"/>
                <w:kern w:val="0"/>
                <w:sz w:val="18"/>
                <w:szCs w:val="18"/>
              </w:rPr>
            </w:pPr>
            <w:r>
              <w:rPr>
                <w:rFonts w:hint="eastAsia" w:ascii="仿宋_GB2312" w:hAnsi="仿宋_GB2312" w:eastAsia="仿宋_GB2312" w:cs="仿宋_GB2312"/>
                <w:snapToGrid w:val="0"/>
                <w:spacing w:val="-1"/>
                <w:kern w:val="0"/>
                <w:sz w:val="18"/>
                <w:szCs w:val="18"/>
                <w:lang w:eastAsia="en-US" w:bidi="ar"/>
              </w:rPr>
              <w:t>历史</w:t>
            </w:r>
            <w:r>
              <w:rPr>
                <w:rFonts w:hint="eastAsia" w:ascii="仿宋_GB2312" w:hAnsi="仿宋_GB2312" w:eastAsia="仿宋_GB2312" w:cs="仿宋_GB2312"/>
                <w:snapToGrid w:val="0"/>
                <w:spacing w:val="-1"/>
                <w:kern w:val="0"/>
                <w:sz w:val="18"/>
                <w:szCs w:val="18"/>
                <w:lang w:bidi="ar"/>
              </w:rPr>
              <w:t>负荷召测</w:t>
            </w:r>
          </w:p>
        </w:tc>
      </w:tr>
      <w:tr w14:paraId="18F99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restart"/>
            <w:tcBorders>
              <w:top w:val="single" w:color="000000" w:sz="4" w:space="0"/>
              <w:left w:val="single" w:color="000000" w:sz="4" w:space="0"/>
              <w:right w:val="single" w:color="auto" w:sz="4" w:space="0"/>
            </w:tcBorders>
            <w:vAlign w:val="center"/>
          </w:tcPr>
          <w:p w14:paraId="4EE75ACE">
            <w:pPr>
              <w:jc w:val="center"/>
              <w:rPr>
                <w:rFonts w:ascii="仿宋_GB2312" w:hAnsi="仿宋_GB2312" w:eastAsia="仿宋_GB2312" w:cs="仿宋_GB2312"/>
                <w:snapToGrid w:val="0"/>
                <w:spacing w:val="2"/>
                <w:sz w:val="18"/>
                <w:szCs w:val="18"/>
                <w:lang w:bidi="ar"/>
              </w:rPr>
            </w:pPr>
            <w:r>
              <w:rPr>
                <w:rFonts w:hint="eastAsia" w:ascii="仿宋_GB2312" w:hAnsi="仿宋_GB2312" w:eastAsia="仿宋_GB2312" w:cs="仿宋_GB2312"/>
                <w:snapToGrid w:val="0"/>
                <w:spacing w:val="2"/>
                <w:sz w:val="18"/>
                <w:szCs w:val="18"/>
                <w:lang w:bidi="ar"/>
              </w:rPr>
              <w:t>收益结算公布</w:t>
            </w:r>
          </w:p>
        </w:tc>
        <w:tc>
          <w:tcPr>
            <w:tcW w:w="2589" w:type="dxa"/>
            <w:vMerge w:val="restart"/>
            <w:tcBorders>
              <w:top w:val="single" w:color="auto" w:sz="4" w:space="0"/>
              <w:left w:val="single" w:color="auto" w:sz="4" w:space="0"/>
              <w:right w:val="single" w:color="auto" w:sz="4" w:space="0"/>
            </w:tcBorders>
            <w:vAlign w:val="center"/>
          </w:tcPr>
          <w:p w14:paraId="4EE2B136">
            <w:pPr>
              <w:kinsoku w:val="0"/>
              <w:autoSpaceDE w:val="0"/>
              <w:autoSpaceDN w:val="0"/>
              <w:adjustRightInd w:val="0"/>
              <w:snapToGrid w:val="0"/>
              <w:spacing w:before="58" w:line="218" w:lineRule="auto"/>
              <w:jc w:val="left"/>
              <w:textAlignment w:val="baseline"/>
              <w:rPr>
                <w:rFonts w:ascii="仿宋_GB2312" w:hAnsi="仿宋_GB2312" w:eastAsia="仿宋_GB2312" w:cs="仿宋_GB2312"/>
                <w:snapToGrid w:val="0"/>
                <w:kern w:val="0"/>
                <w:sz w:val="18"/>
                <w:szCs w:val="18"/>
                <w:lang w:eastAsia="en-US"/>
              </w:rPr>
            </w:pPr>
            <w:r>
              <w:rPr>
                <w:rFonts w:hint="eastAsia" w:ascii="仿宋_GB2312" w:hAnsi="仿宋_GB2312" w:eastAsia="仿宋_GB2312" w:cs="仿宋_GB2312"/>
                <w:snapToGrid w:val="0"/>
                <w:kern w:val="0"/>
                <w:sz w:val="18"/>
                <w:szCs w:val="18"/>
              </w:rPr>
              <w:t>日清算</w:t>
            </w:r>
          </w:p>
        </w:tc>
        <w:tc>
          <w:tcPr>
            <w:tcW w:w="4673" w:type="dxa"/>
            <w:tcBorders>
              <w:top w:val="single" w:color="000000" w:sz="4" w:space="0"/>
              <w:left w:val="single" w:color="auto" w:sz="4" w:space="0"/>
              <w:bottom w:val="single" w:color="000000" w:sz="4" w:space="0"/>
              <w:right w:val="single" w:color="000000" w:sz="4" w:space="0"/>
            </w:tcBorders>
            <w:vAlign w:val="center"/>
          </w:tcPr>
          <w:p w14:paraId="6964C9D1">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有功响应结果</w:t>
            </w:r>
          </w:p>
        </w:tc>
      </w:tr>
      <w:tr w14:paraId="04C82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407" w:type="dxa"/>
            <w:vMerge w:val="continue"/>
            <w:tcBorders>
              <w:left w:val="single" w:color="000000" w:sz="4" w:space="0"/>
              <w:right w:val="single" w:color="auto" w:sz="4" w:space="0"/>
            </w:tcBorders>
          </w:tcPr>
          <w:p w14:paraId="0E86C5A3">
            <w:pPr>
              <w:jc w:val="center"/>
              <w:rPr>
                <w:rFonts w:ascii="仿宋_GB2312" w:hAnsi="仿宋_GB2312" w:eastAsia="仿宋_GB2312" w:cs="仿宋_GB2312"/>
                <w:snapToGrid w:val="0"/>
                <w:spacing w:val="2"/>
                <w:sz w:val="18"/>
                <w:szCs w:val="18"/>
                <w:lang w:bidi="ar"/>
              </w:rPr>
            </w:pPr>
          </w:p>
        </w:tc>
        <w:tc>
          <w:tcPr>
            <w:tcW w:w="2589" w:type="dxa"/>
            <w:vMerge w:val="continue"/>
            <w:tcBorders>
              <w:left w:val="single" w:color="auto" w:sz="4" w:space="0"/>
              <w:bottom w:val="single" w:color="auto" w:sz="4" w:space="0"/>
              <w:right w:val="single" w:color="auto" w:sz="4" w:space="0"/>
            </w:tcBorders>
          </w:tcPr>
          <w:p w14:paraId="55B60A77">
            <w:pPr>
              <w:kinsoku w:val="0"/>
              <w:autoSpaceDE w:val="0"/>
              <w:autoSpaceDN w:val="0"/>
              <w:adjustRightInd w:val="0"/>
              <w:snapToGrid w:val="0"/>
              <w:spacing w:before="58" w:line="218" w:lineRule="auto"/>
              <w:jc w:val="left"/>
              <w:textAlignment w:val="baseline"/>
              <w:rPr>
                <w:rFonts w:ascii="仿宋_GB2312" w:hAnsi="仿宋_GB2312" w:eastAsia="仿宋_GB2312" w:cs="仿宋_GB2312"/>
                <w:snapToGrid w:val="0"/>
                <w:kern w:val="0"/>
                <w:sz w:val="18"/>
                <w:szCs w:val="18"/>
              </w:rPr>
            </w:pPr>
          </w:p>
        </w:tc>
        <w:tc>
          <w:tcPr>
            <w:tcW w:w="4673" w:type="dxa"/>
            <w:tcBorders>
              <w:top w:val="single" w:color="000000" w:sz="4" w:space="0"/>
              <w:left w:val="single" w:color="auto" w:sz="4" w:space="0"/>
              <w:bottom w:val="single" w:color="000000" w:sz="4" w:space="0"/>
              <w:right w:val="single" w:color="000000" w:sz="4" w:space="0"/>
            </w:tcBorders>
            <w:vAlign w:val="center"/>
          </w:tcPr>
          <w:p w14:paraId="733D4D0C">
            <w:pPr>
              <w:kinsoku w:val="0"/>
              <w:autoSpaceDE w:val="0"/>
              <w:autoSpaceDN w:val="0"/>
              <w:adjustRightInd w:val="0"/>
              <w:snapToGrid w:val="0"/>
              <w:spacing w:before="103" w:line="218" w:lineRule="auto"/>
              <w:ind w:left="75"/>
              <w:textAlignment w:val="baseline"/>
              <w:rPr>
                <w:rFonts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备用服务结果</w:t>
            </w:r>
          </w:p>
        </w:tc>
      </w:tr>
    </w:tbl>
    <w:p w14:paraId="031E45EB">
      <w:pPr>
        <w:pStyle w:val="3"/>
        <w:spacing w:line="440" w:lineRule="exact"/>
        <w:rPr>
          <w:rFonts w:ascii="黑体" w:hAnsi="黑体" w:eastAsia="黑体" w:cs="黑体"/>
          <w:b w:val="0"/>
          <w:bCs/>
          <w:sz w:val="32"/>
          <w:szCs w:val="32"/>
        </w:rPr>
      </w:pPr>
    </w:p>
    <w:p w14:paraId="50C9F4BF">
      <w:pPr>
        <w:widowControl/>
        <w:numPr>
          <w:ilvl w:val="255"/>
          <w:numId w:val="0"/>
        </w:numPr>
        <w:tabs>
          <w:tab w:val="left" w:pos="0"/>
        </w:tabs>
        <w:adjustRightInd w:val="0"/>
        <w:snapToGrid w:val="0"/>
        <w:spacing w:line="560" w:lineRule="exact"/>
        <w:ind w:left="420" w:leftChars="200"/>
        <w:jc w:val="left"/>
        <w:rPr>
          <w:rFonts w:hint="eastAsia" w:ascii="黑体" w:hAnsi="黑体" w:eastAsia="黑体" w:cs="黑体"/>
          <w:sz w:val="32"/>
        </w:rPr>
      </w:pPr>
      <w:r>
        <w:rPr>
          <w:rFonts w:hint="eastAsia" w:ascii="黑体" w:hAnsi="黑体" w:eastAsia="黑体" w:cs="黑体"/>
          <w:sz w:val="32"/>
        </w:rPr>
        <w:t>二、交互字段示例</w:t>
      </w:r>
    </w:p>
    <w:p w14:paraId="0809D40B">
      <w:pPr>
        <w:widowControl/>
        <w:numPr>
          <w:ilvl w:val="255"/>
          <w:numId w:val="0"/>
        </w:numPr>
        <w:tabs>
          <w:tab w:val="left" w:pos="0"/>
        </w:tabs>
        <w:adjustRightInd w:val="0"/>
        <w:snapToGrid w:val="0"/>
        <w:spacing w:line="560" w:lineRule="exact"/>
        <w:ind w:left="420" w:leftChars="200"/>
        <w:jc w:val="left"/>
        <w:rPr>
          <w:rFonts w:hint="eastAsia" w:ascii="楷体_GB2312" w:hAnsi="楷体_GB2312" w:eastAsia="楷体_GB2312" w:cs="楷体_GB2312"/>
          <w:sz w:val="32"/>
          <w:lang w:val="en-US" w:eastAsia="zh-CN"/>
        </w:rPr>
      </w:pPr>
      <w:r>
        <w:rPr>
          <w:rFonts w:hint="eastAsia" w:ascii="楷体_GB2312" w:hAnsi="楷体_GB2312" w:eastAsia="楷体_GB2312" w:cs="楷体_GB2312"/>
          <w:sz w:val="32"/>
          <w:lang w:val="en-US" w:eastAsia="zh-CN"/>
        </w:rPr>
        <w:t>（一）需求发布</w:t>
      </w:r>
    </w:p>
    <w:p w14:paraId="054E7B4F">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1.月度备用需求发布</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989"/>
        <w:gridCol w:w="1391"/>
        <w:gridCol w:w="660"/>
        <w:gridCol w:w="665"/>
        <w:gridCol w:w="3814"/>
      </w:tblGrid>
      <w:tr w14:paraId="78A6E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06" w:hRule="atLeast"/>
          <w:jc w:val="center"/>
        </w:trPr>
        <w:tc>
          <w:tcPr>
            <w:tcW w:w="1167" w:type="pct"/>
            <w:vMerge w:val="restart"/>
            <w:tcBorders>
              <w:top w:val="single" w:color="auto" w:sz="4" w:space="0"/>
              <w:left w:val="single" w:color="auto" w:sz="4" w:space="0"/>
              <w:right w:val="single" w:color="auto" w:sz="4" w:space="0"/>
            </w:tcBorders>
            <w:shd w:val="clear" w:color="auto" w:fill="FFFFFF"/>
            <w:vAlign w:val="center"/>
          </w:tcPr>
          <w:p w14:paraId="397345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数据格式</w:t>
            </w:r>
          </w:p>
        </w:tc>
        <w:tc>
          <w:tcPr>
            <w:tcW w:w="816" w:type="pct"/>
            <w:vMerge w:val="restart"/>
            <w:tcBorders>
              <w:top w:val="single" w:color="auto" w:sz="4" w:space="0"/>
              <w:left w:val="single" w:color="auto" w:sz="4" w:space="0"/>
              <w:right w:val="single" w:color="auto" w:sz="4" w:space="0"/>
            </w:tcBorders>
            <w:shd w:val="clear" w:color="auto" w:fill="FFFFFF"/>
            <w:vAlign w:val="center"/>
          </w:tcPr>
          <w:p w14:paraId="2C2878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777"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52BBA2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238" w:type="pct"/>
            <w:vMerge w:val="restart"/>
            <w:tcBorders>
              <w:top w:val="single" w:color="auto" w:sz="4" w:space="0"/>
              <w:left w:val="single" w:color="auto" w:sz="4" w:space="0"/>
              <w:right w:val="single" w:color="auto" w:sz="4" w:space="0"/>
            </w:tcBorders>
            <w:shd w:val="clear" w:color="auto" w:fill="FFFFFF"/>
            <w:vAlign w:val="center"/>
          </w:tcPr>
          <w:p w14:paraId="628DB11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01E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7" w:type="pct"/>
            <w:vMerge w:val="continue"/>
            <w:tcBorders>
              <w:left w:val="single" w:color="auto" w:sz="4" w:space="0"/>
              <w:bottom w:val="single" w:color="auto" w:sz="4" w:space="0"/>
              <w:right w:val="single" w:color="auto" w:sz="4" w:space="0"/>
            </w:tcBorders>
            <w:shd w:val="clear" w:color="auto" w:fill="FFFFFF"/>
            <w:vAlign w:val="center"/>
          </w:tcPr>
          <w:p w14:paraId="0ED85AD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16" w:type="pct"/>
            <w:vMerge w:val="continue"/>
            <w:tcBorders>
              <w:left w:val="single" w:color="auto" w:sz="4" w:space="0"/>
              <w:bottom w:val="single" w:color="auto" w:sz="4" w:space="0"/>
              <w:right w:val="single" w:color="auto" w:sz="4" w:space="0"/>
            </w:tcBorders>
            <w:shd w:val="clear" w:color="auto" w:fill="FFFFFF"/>
            <w:vAlign w:val="center"/>
          </w:tcPr>
          <w:p w14:paraId="071BA02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33AFD0F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7D497F2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238" w:type="pct"/>
            <w:vMerge w:val="continue"/>
            <w:tcBorders>
              <w:left w:val="single" w:color="auto" w:sz="4" w:space="0"/>
              <w:bottom w:val="single" w:color="auto" w:sz="4" w:space="0"/>
              <w:right w:val="single" w:color="auto" w:sz="4" w:space="0"/>
            </w:tcBorders>
            <w:shd w:val="clear" w:color="auto" w:fill="FFFFFF"/>
            <w:vAlign w:val="center"/>
          </w:tcPr>
          <w:p w14:paraId="69122B4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71F46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40538C9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771C0AE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44F7A2C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0003465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50F61A3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需求计划编号(16个字节ASCII)</w:t>
            </w:r>
          </w:p>
        </w:tc>
      </w:tr>
      <w:tr w14:paraId="0B919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5D8DBF5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19074A4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17EC12D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7CCF8F9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21C63DE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需求计划名称(32个字节ASCII)</w:t>
            </w:r>
          </w:p>
        </w:tc>
      </w:tr>
      <w:tr w14:paraId="3741A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05632F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38B0B3F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6104A51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425684D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06356BB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备用开始日期(5个字节)</w:t>
            </w:r>
          </w:p>
        </w:tc>
      </w:tr>
      <w:tr w14:paraId="26354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5D28C78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2018110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76468B5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6E5DECE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5DE9A7A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备用结束日期(5个字节)</w:t>
            </w:r>
          </w:p>
        </w:tc>
      </w:tr>
      <w:tr w14:paraId="730C2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3F722F8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51A9147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31A7471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62F08D8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7DE9FFF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月度备用需求容量(4个字节)</w:t>
            </w:r>
          </w:p>
        </w:tc>
      </w:tr>
      <w:tr w14:paraId="3BDCB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7349DE9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2865653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0A299B1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496FA29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元/kW</w:t>
            </w: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4CB03B7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66A684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3C6F097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分时备用价格曲线(96*4个字节)</w:t>
            </w:r>
          </w:p>
          <w:p w14:paraId="7F37162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415636C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区间价格,</w:t>
            </w:r>
          </w:p>
          <w:p w14:paraId="61FF3D1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区间价格,</w:t>
            </w:r>
          </w:p>
          <w:p w14:paraId="2641E72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16720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5B45F52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55A2CB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3A0AF07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647AB4D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0E7AEEF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备用范围（指定某一馈线或台区范围内的资源可参与申报，不指定则为全部）(16个字节ASCII)</w:t>
            </w:r>
          </w:p>
        </w:tc>
      </w:tr>
      <w:tr w14:paraId="437A9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0428730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0119EFC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0D46CC7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1D6A7CA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57E4404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邀约时间(5个字节)</w:t>
            </w:r>
          </w:p>
        </w:tc>
      </w:tr>
      <w:tr w14:paraId="3919D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4138A96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500D20A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787E125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07D91E5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7DD7A25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申报截止时间(5个字节)</w:t>
            </w:r>
          </w:p>
        </w:tc>
      </w:tr>
      <w:tr w14:paraId="5C6D2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3134A52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0F93639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27F1CE0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7F4096B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5141CE8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运营商编号（单个）(8个字节ASCII)</w:t>
            </w:r>
          </w:p>
        </w:tc>
      </w:tr>
      <w:tr w14:paraId="6DCBA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0E4F4DB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629C3C8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0AC705F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7776A25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177D41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需求计划编号(16个字节ASCII)</w:t>
            </w:r>
          </w:p>
        </w:tc>
      </w:tr>
      <w:tr w14:paraId="4F2DC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1F68125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213003D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591908F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1AF77DA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18A2B2A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需求计划名称(32个字节ASCII)</w:t>
            </w:r>
          </w:p>
        </w:tc>
      </w:tr>
      <w:tr w14:paraId="5F063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09DDF91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2F17B92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514866D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730D35C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5BD518E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备用用户数量(1个字节BIN)</w:t>
            </w:r>
          </w:p>
        </w:tc>
      </w:tr>
      <w:tr w14:paraId="6821C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134FD5E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1622ADC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1C1F565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14:paraId="2A9A9BE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5B2ADB2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auto" w:sz="4" w:space="0"/>
              <w:left w:val="single" w:color="auto" w:sz="4" w:space="0"/>
              <w:bottom w:val="single" w:color="auto" w:sz="4" w:space="0"/>
              <w:right w:val="single" w:color="auto" w:sz="4" w:space="0"/>
            </w:tcBorders>
            <w:shd w:val="clear" w:color="auto" w:fill="FFFFFF"/>
            <w:vAlign w:val="center"/>
          </w:tcPr>
          <w:p w14:paraId="35022A4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238" w:type="pct"/>
            <w:tcBorders>
              <w:top w:val="single" w:color="auto" w:sz="4" w:space="0"/>
              <w:left w:val="single" w:color="auto" w:sz="4" w:space="0"/>
              <w:bottom w:val="single" w:color="auto" w:sz="4" w:space="0"/>
              <w:right w:val="single" w:color="auto" w:sz="4" w:space="0"/>
            </w:tcBorders>
            <w:shd w:val="clear" w:color="auto" w:fill="FFFFFF"/>
            <w:vAlign w:val="center"/>
          </w:tcPr>
          <w:p w14:paraId="16DF37B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-用户编号(4*N个字节BCD)</w:t>
            </w:r>
          </w:p>
        </w:tc>
      </w:tr>
    </w:tbl>
    <w:p w14:paraId="4977373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p w14:paraId="057BF640">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2.有功响应需求发布</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416"/>
        <w:gridCol w:w="1418"/>
        <w:gridCol w:w="723"/>
        <w:gridCol w:w="649"/>
        <w:gridCol w:w="4313"/>
      </w:tblGrid>
      <w:tr w14:paraId="5F754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06" w:hRule="atLeast"/>
          <w:jc w:val="center"/>
        </w:trPr>
        <w:tc>
          <w:tcPr>
            <w:tcW w:w="831" w:type="pct"/>
            <w:vMerge w:val="restart"/>
            <w:tcBorders>
              <w:top w:val="single" w:color="auto" w:sz="4" w:space="0"/>
              <w:left w:val="single" w:color="auto" w:sz="4" w:space="0"/>
              <w:right w:val="single" w:color="auto" w:sz="4" w:space="0"/>
            </w:tcBorders>
            <w:shd w:val="clear" w:color="auto" w:fill="FFFFFF"/>
            <w:vAlign w:val="center"/>
          </w:tcPr>
          <w:p w14:paraId="41633BF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数据格式</w:t>
            </w:r>
          </w:p>
        </w:tc>
        <w:tc>
          <w:tcPr>
            <w:tcW w:w="832" w:type="pct"/>
            <w:vMerge w:val="restart"/>
            <w:tcBorders>
              <w:top w:val="single" w:color="auto" w:sz="4" w:space="0"/>
              <w:left w:val="single" w:color="auto" w:sz="4" w:space="0"/>
              <w:right w:val="single" w:color="auto" w:sz="4" w:space="0"/>
            </w:tcBorders>
            <w:shd w:val="clear" w:color="auto" w:fill="FFFFFF"/>
            <w:vAlign w:val="center"/>
          </w:tcPr>
          <w:p w14:paraId="4D9EEA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805"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776F8C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31" w:type="pct"/>
            <w:vMerge w:val="restart"/>
            <w:tcBorders>
              <w:top w:val="single" w:color="auto" w:sz="4" w:space="0"/>
              <w:left w:val="single" w:color="auto" w:sz="4" w:space="0"/>
              <w:right w:val="single" w:color="auto" w:sz="4" w:space="0"/>
            </w:tcBorders>
            <w:shd w:val="clear" w:color="auto" w:fill="FFFFFF"/>
            <w:vAlign w:val="center"/>
          </w:tcPr>
          <w:p w14:paraId="5FF6628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0B1AD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31" w:type="pct"/>
            <w:vMerge w:val="continue"/>
            <w:tcBorders>
              <w:left w:val="single" w:color="auto" w:sz="4" w:space="0"/>
              <w:bottom w:val="single" w:color="auto" w:sz="4" w:space="0"/>
              <w:right w:val="single" w:color="auto" w:sz="4" w:space="0"/>
            </w:tcBorders>
            <w:shd w:val="clear" w:color="auto" w:fill="FFFFFF"/>
            <w:vAlign w:val="center"/>
          </w:tcPr>
          <w:p w14:paraId="274D8B4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32" w:type="pct"/>
            <w:vMerge w:val="continue"/>
            <w:tcBorders>
              <w:left w:val="single" w:color="auto" w:sz="4" w:space="0"/>
              <w:bottom w:val="single" w:color="auto" w:sz="4" w:space="0"/>
              <w:right w:val="single" w:color="auto" w:sz="4" w:space="0"/>
            </w:tcBorders>
            <w:shd w:val="clear" w:color="auto" w:fill="FFFFFF"/>
            <w:vAlign w:val="center"/>
          </w:tcPr>
          <w:p w14:paraId="08E3231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3A76165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F0C9B7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31" w:type="pct"/>
            <w:vMerge w:val="continue"/>
            <w:tcBorders>
              <w:left w:val="single" w:color="auto" w:sz="4" w:space="0"/>
              <w:right w:val="single" w:color="auto" w:sz="4" w:space="0"/>
            </w:tcBorders>
            <w:shd w:val="clear" w:color="auto" w:fill="FFFFFF"/>
            <w:vAlign w:val="center"/>
          </w:tcPr>
          <w:p w14:paraId="59421CC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344D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72868C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43C1B50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3ECE7B0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ADFAD9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5D83D85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需求计划编号(16个字节ASCII)</w:t>
            </w:r>
          </w:p>
        </w:tc>
      </w:tr>
      <w:tr w14:paraId="2BA5F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70D4CBD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2DCCA1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50F9F99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8ACB9E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146B8C9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需求计划名称(32个字节ASCII)</w:t>
            </w:r>
          </w:p>
        </w:tc>
      </w:tr>
      <w:tr w14:paraId="4227E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3EF0E4B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1553547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7DD7165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7D9CE8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0CCCAA4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需求类型(1:日前需求响应，2：日内需求响应,3:日前无功需求响应)（1个字节）</w:t>
            </w:r>
          </w:p>
        </w:tc>
      </w:tr>
      <w:tr w14:paraId="480E4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066C93F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577C188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1F7994E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6178447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423AF6F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响应范围（指定某一馈线或台区范围内的资源可参与申报，不指定则为全部）（16个字节ASCII）</w:t>
            </w:r>
          </w:p>
        </w:tc>
      </w:tr>
      <w:tr w14:paraId="4F9FC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268315F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721A62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39DC541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227569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466B05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响应开始时间（16）（年 月 日 时 分）(5个字节)</w:t>
            </w:r>
          </w:p>
        </w:tc>
      </w:tr>
      <w:tr w14:paraId="40B4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186412A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2F57831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764FF24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DEC620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70A563F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响应结束时间（16）（年 月 日 时 分）(5个字节)</w:t>
            </w:r>
          </w:p>
        </w:tc>
      </w:tr>
      <w:tr w14:paraId="72852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59AE41B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70B6439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0B51FFF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0F544BA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02F161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61ADEE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5ECC50E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需求曲线（4*96字节）</w:t>
            </w:r>
          </w:p>
          <w:p w14:paraId="7D467FC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126EA39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区间的需求平均功率值,</w:t>
            </w:r>
          </w:p>
          <w:p w14:paraId="5F8140E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区间的需求平均功率值,</w:t>
            </w:r>
          </w:p>
          <w:p w14:paraId="0DC9B76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4B147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11AA6D7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3D9F07B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2B18B49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296597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571DBB1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邀约时间（发布时间）（16）（年 月 日 时 分）(5个字节)</w:t>
            </w:r>
          </w:p>
        </w:tc>
      </w:tr>
      <w:tr w14:paraId="161BF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5955E40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48517D4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6BABD4B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137384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6E32CCF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申报截止时间（作为终端任务上送的截至时间）（16）(5个字节)</w:t>
            </w:r>
          </w:p>
        </w:tc>
      </w:tr>
      <w:tr w14:paraId="0F667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044870F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181AE37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5B53D46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4E9910D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62BD855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运营商编号（单个）（16个字节ASCII）</w:t>
            </w:r>
          </w:p>
        </w:tc>
      </w:tr>
      <w:tr w14:paraId="6765B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3929686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325B0DC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19E7806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184D9CE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086DCA7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1900805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364A929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运营商基线（4*96字节）</w:t>
            </w:r>
          </w:p>
          <w:p w14:paraId="28D9946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576F18F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区间的基线值,</w:t>
            </w:r>
          </w:p>
          <w:p w14:paraId="158ED2C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区间的基线值,</w:t>
            </w:r>
          </w:p>
          <w:p w14:paraId="209DDE1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4DC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6FCF4C1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5D354DC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6707343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EBB5DA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13199C7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需求计划编号(16个字节ASCII)</w:t>
            </w:r>
          </w:p>
        </w:tc>
      </w:tr>
      <w:tr w14:paraId="4C9E1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0414D82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1473857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5F45AEF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379833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4173F7D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需求计划名称(32个字节ASCII)</w:t>
            </w:r>
          </w:p>
        </w:tc>
      </w:tr>
      <w:tr w14:paraId="1851F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3E65C08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4E7EE4B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113F700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5BAA391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63B43FB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用户基线负荷对应时间</w:t>
            </w:r>
          </w:p>
        </w:tc>
      </w:tr>
      <w:tr w14:paraId="499CF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4B78234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3EEF21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02AF28A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EC10D9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7A6EB4C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用户数量(1个字节BIN)</w:t>
            </w:r>
          </w:p>
        </w:tc>
      </w:tr>
      <w:tr w14:paraId="23C82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7136B4C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1F213B6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7C1A68D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7071A7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086B575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-用户编号1(4字节BCD)</w:t>
            </w:r>
          </w:p>
        </w:tc>
      </w:tr>
      <w:tr w14:paraId="1316B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43EB91E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008C943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102668A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06C462D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1FF5BE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-用户1基线类型（0：有功、1：无功）</w:t>
            </w:r>
          </w:p>
        </w:tc>
      </w:tr>
      <w:tr w14:paraId="1C3E0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085BB61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7ECEF52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0061738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57C3557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60545DF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-用户1基线负荷（每次只有一个时间段数据）4个字节</w:t>
            </w:r>
          </w:p>
          <w:p w14:paraId="15D14B2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378B9F9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区间的基线值</w:t>
            </w:r>
          </w:p>
          <w:p w14:paraId="052444C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74858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3B324DD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475114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0C753C2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71BA4E3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5D86BD3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-用户N用户编号(4字节BCD)</w:t>
            </w:r>
          </w:p>
          <w:p w14:paraId="30BCFC8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35DD0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574AFFF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03074FF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2B15764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3D56C96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68BF1BF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-用户N基线类型（0：有功、1：无功）</w:t>
            </w:r>
          </w:p>
        </w:tc>
      </w:tr>
      <w:tr w14:paraId="2F0F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382EE93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2509415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424" w:type="pct"/>
            <w:tcBorders>
              <w:top w:val="single" w:color="auto" w:sz="4" w:space="0"/>
              <w:left w:val="single" w:color="auto" w:sz="4" w:space="0"/>
              <w:bottom w:val="single" w:color="auto" w:sz="4" w:space="0"/>
              <w:right w:val="single" w:color="auto" w:sz="4" w:space="0"/>
            </w:tcBorders>
            <w:shd w:val="clear" w:color="auto" w:fill="FFFFFF"/>
            <w:vAlign w:val="center"/>
          </w:tcPr>
          <w:p w14:paraId="1AEC0E4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0" w:type="pct"/>
            <w:tcBorders>
              <w:top w:val="single" w:color="auto" w:sz="4" w:space="0"/>
              <w:left w:val="single" w:color="auto" w:sz="4" w:space="0"/>
              <w:bottom w:val="single" w:color="auto" w:sz="4" w:space="0"/>
              <w:right w:val="single" w:color="auto" w:sz="4" w:space="0"/>
            </w:tcBorders>
            <w:shd w:val="clear" w:color="auto" w:fill="FFFFFF"/>
            <w:vAlign w:val="center"/>
          </w:tcPr>
          <w:p w14:paraId="21286F2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31" w:type="pct"/>
            <w:tcBorders>
              <w:top w:val="single" w:color="auto" w:sz="4" w:space="0"/>
              <w:left w:val="single" w:color="auto" w:sz="4" w:space="0"/>
              <w:bottom w:val="single" w:color="auto" w:sz="4" w:space="0"/>
              <w:right w:val="single" w:color="auto" w:sz="4" w:space="0"/>
            </w:tcBorders>
            <w:shd w:val="clear" w:color="auto" w:fill="FFFFFF"/>
            <w:vAlign w:val="center"/>
          </w:tcPr>
          <w:p w14:paraId="49F46DC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-用户N基线负荷（每次只有一个时间段数据）4个字节</w:t>
            </w:r>
          </w:p>
          <w:p w14:paraId="3E5C34E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62A9896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区间的基线值</w:t>
            </w:r>
          </w:p>
          <w:p w14:paraId="3A65E0C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bl>
    <w:p w14:paraId="49542740">
      <w:pPr>
        <w:widowControl/>
        <w:numPr>
          <w:ilvl w:val="255"/>
          <w:numId w:val="0"/>
        </w:numPr>
        <w:tabs>
          <w:tab w:val="left" w:pos="0"/>
        </w:tabs>
        <w:adjustRightInd w:val="0"/>
        <w:snapToGrid w:val="0"/>
        <w:spacing w:line="560" w:lineRule="exact"/>
        <w:ind w:left="420" w:leftChars="200"/>
        <w:jc w:val="left"/>
        <w:rPr>
          <w:rFonts w:hint="eastAsia" w:ascii="楷体_GB2312" w:hAnsi="楷体_GB2312" w:eastAsia="楷体_GB2312" w:cs="楷体_GB2312"/>
          <w:sz w:val="32"/>
          <w:lang w:val="en-US" w:eastAsia="zh-CN"/>
        </w:rPr>
      </w:pPr>
    </w:p>
    <w:p w14:paraId="5C9D9FDD">
      <w:pPr>
        <w:widowControl/>
        <w:numPr>
          <w:ilvl w:val="255"/>
          <w:numId w:val="0"/>
        </w:numPr>
        <w:tabs>
          <w:tab w:val="left" w:pos="0"/>
        </w:tabs>
        <w:adjustRightInd w:val="0"/>
        <w:snapToGrid w:val="0"/>
        <w:spacing w:line="560" w:lineRule="exact"/>
        <w:ind w:left="420" w:leftChars="200"/>
        <w:jc w:val="left"/>
        <w:rPr>
          <w:rFonts w:hint="eastAsia" w:ascii="楷体_GB2312" w:hAnsi="楷体_GB2312" w:eastAsia="楷体_GB2312" w:cs="楷体_GB2312"/>
          <w:sz w:val="32"/>
          <w:lang w:val="en-US" w:eastAsia="zh-CN"/>
        </w:rPr>
      </w:pPr>
      <w:r>
        <w:rPr>
          <w:rFonts w:hint="eastAsia" w:ascii="楷体_GB2312" w:hAnsi="楷体_GB2312" w:eastAsia="楷体_GB2312" w:cs="楷体_GB2312"/>
          <w:sz w:val="32"/>
          <w:lang w:val="en-US" w:eastAsia="zh-CN"/>
        </w:rPr>
        <w:t>（二）响应数据申报</w:t>
      </w:r>
    </w:p>
    <w:p w14:paraId="44105283">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3.备用服务申报</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454"/>
        <w:gridCol w:w="1454"/>
        <w:gridCol w:w="658"/>
        <w:gridCol w:w="675"/>
        <w:gridCol w:w="4278"/>
      </w:tblGrid>
      <w:tr w14:paraId="183B1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59" w:hRule="atLeast"/>
          <w:jc w:val="center"/>
        </w:trPr>
        <w:tc>
          <w:tcPr>
            <w:tcW w:w="853" w:type="pct"/>
            <w:vMerge w:val="restart"/>
            <w:tcBorders>
              <w:top w:val="single" w:color="auto" w:sz="4" w:space="0"/>
              <w:left w:val="single" w:color="auto" w:sz="4" w:space="0"/>
              <w:right w:val="single" w:color="auto" w:sz="4" w:space="0"/>
            </w:tcBorders>
            <w:shd w:val="clear" w:color="auto" w:fill="FFFFFF"/>
            <w:vAlign w:val="center"/>
          </w:tcPr>
          <w:p w14:paraId="55558A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数据格式</w:t>
            </w:r>
          </w:p>
        </w:tc>
        <w:tc>
          <w:tcPr>
            <w:tcW w:w="853" w:type="pct"/>
            <w:vMerge w:val="restart"/>
            <w:tcBorders>
              <w:top w:val="single" w:color="auto" w:sz="4" w:space="0"/>
              <w:left w:val="single" w:color="auto" w:sz="4" w:space="0"/>
              <w:right w:val="single" w:color="auto" w:sz="4" w:space="0"/>
            </w:tcBorders>
            <w:shd w:val="clear" w:color="auto" w:fill="FFFFFF"/>
            <w:vAlign w:val="center"/>
          </w:tcPr>
          <w:p w14:paraId="4082E81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78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8593FC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10" w:type="pct"/>
            <w:vMerge w:val="restart"/>
            <w:tcBorders>
              <w:top w:val="single" w:color="auto" w:sz="4" w:space="0"/>
              <w:left w:val="single" w:color="auto" w:sz="4" w:space="0"/>
              <w:right w:val="single" w:color="auto" w:sz="4" w:space="0"/>
            </w:tcBorders>
            <w:shd w:val="clear" w:color="auto" w:fill="FFFFFF"/>
            <w:vAlign w:val="center"/>
          </w:tcPr>
          <w:p w14:paraId="337EDDA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781BA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853" w:type="pct"/>
            <w:vMerge w:val="continue"/>
            <w:tcBorders>
              <w:left w:val="single" w:color="auto" w:sz="4" w:space="0"/>
              <w:bottom w:val="single" w:color="auto" w:sz="4" w:space="0"/>
              <w:right w:val="single" w:color="auto" w:sz="4" w:space="0"/>
            </w:tcBorders>
            <w:shd w:val="clear" w:color="auto" w:fill="FFFFFF"/>
            <w:vAlign w:val="center"/>
          </w:tcPr>
          <w:p w14:paraId="5FE4571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vMerge w:val="continue"/>
            <w:tcBorders>
              <w:left w:val="single" w:color="auto" w:sz="4" w:space="0"/>
              <w:bottom w:val="single" w:color="auto" w:sz="4" w:space="0"/>
              <w:right w:val="single" w:color="auto" w:sz="4" w:space="0"/>
            </w:tcBorders>
            <w:shd w:val="clear" w:color="auto" w:fill="FFFFFF"/>
            <w:vAlign w:val="center"/>
          </w:tcPr>
          <w:p w14:paraId="00F8B45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6EDEEC5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107471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10" w:type="pct"/>
            <w:vMerge w:val="continue"/>
            <w:tcBorders>
              <w:left w:val="single" w:color="auto" w:sz="4" w:space="0"/>
              <w:bottom w:val="single" w:color="auto" w:sz="4" w:space="0"/>
              <w:right w:val="single" w:color="auto" w:sz="4" w:space="0"/>
            </w:tcBorders>
            <w:shd w:val="clear" w:color="auto" w:fill="FFFFFF"/>
            <w:vAlign w:val="center"/>
          </w:tcPr>
          <w:p w14:paraId="349F7DF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44405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3" w:hRule="exac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EACA2A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656771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05F794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B167B6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4AF5011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6889C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3" w:hRule="exac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7F00D0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C40AE7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44CCAA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297F7A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736F55F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需求计划编号(32个字节ASCII)</w:t>
            </w:r>
          </w:p>
        </w:tc>
      </w:tr>
      <w:tr w14:paraId="5DA2F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0" w:hRule="exac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399372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73D4CF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83A75F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B74E73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06E4A54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申报时间（5个字节）</w:t>
            </w:r>
          </w:p>
        </w:tc>
      </w:tr>
      <w:tr w14:paraId="6AFF7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1730B6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106E3D3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58FC035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A7D7B9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2998321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是否参与邀约（0：否，1：是）</w:t>
            </w:r>
          </w:p>
        </w:tc>
      </w:tr>
      <w:tr w14:paraId="007FC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6" w:hRule="exac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2BCFCB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06DE88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1645EF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0EC2B1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4B65380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最大日备用容量（以备用检测性能的最大值作为上限）（4个字节）</w:t>
            </w:r>
          </w:p>
        </w:tc>
      </w:tr>
      <w:tr w14:paraId="3831C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3FD4E4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948EAB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E9D095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24365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73F700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是否确认（0：否，1：是）</w:t>
            </w:r>
          </w:p>
        </w:tc>
      </w:tr>
      <w:tr w14:paraId="332C5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406A616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DCA1A8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2AE36F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594AB1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27C0C12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备用用户N数量（1个字节BIN）</w:t>
            </w:r>
          </w:p>
        </w:tc>
      </w:tr>
      <w:tr w14:paraId="6F47A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761062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422FDF2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AA7389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C1D680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165233E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-用户1编号（4个字节BIN）</w:t>
            </w:r>
          </w:p>
        </w:tc>
      </w:tr>
      <w:tr w14:paraId="5D586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1B1E281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2595A6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6F32A91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1F6AC6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0B91216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-用户1资源编号（4个字节BIN）</w:t>
            </w:r>
          </w:p>
        </w:tc>
      </w:tr>
      <w:tr w14:paraId="24AE3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1747B2C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1678B7C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9C3540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B76934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43E5D9B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-用户1备用资源数量M（1个字节BIN）</w:t>
            </w:r>
          </w:p>
        </w:tc>
      </w:tr>
      <w:tr w14:paraId="51F27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F7C64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F45F78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6BFF4F1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7A875A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4F796D5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-用户1资源1备用容量（4个字节）</w:t>
            </w:r>
          </w:p>
        </w:tc>
      </w:tr>
      <w:tr w14:paraId="2E214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17C07CF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p w14:paraId="383115C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667C33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7168AC9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26F0F4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6DCB603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-用户1资源1类型（1:可中断、2:储能、3:空调）</w:t>
            </w:r>
          </w:p>
        </w:tc>
      </w:tr>
      <w:tr w14:paraId="14075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1AF86E3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52746B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C9E4C5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1797E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63FEFE3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-用户1资源M备用容量（4个字节）</w:t>
            </w:r>
          </w:p>
        </w:tc>
      </w:tr>
      <w:tr w14:paraId="5B0E7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14BE8A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p w14:paraId="363F99C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46DDC5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7AC2ACE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336CBE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1AC3D52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-用户1资源M类型（可中断、储能、空调）（1个字节）</w:t>
            </w:r>
          </w:p>
        </w:tc>
      </w:tr>
      <w:tr w14:paraId="74906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341289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C891BD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7BB9C02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5026D0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450A988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-用户N编号（4个字节BIN）</w:t>
            </w:r>
          </w:p>
        </w:tc>
      </w:tr>
      <w:tr w14:paraId="7BB7C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22B64D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18BA5A8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E04492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76FB88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6F2E683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-用户N资源编号（4个字节BIN）</w:t>
            </w:r>
          </w:p>
        </w:tc>
      </w:tr>
      <w:tr w14:paraId="20650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CA9337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31709F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4EF049D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807F8C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6077252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-用户N备用资源数量M（1个字节BIN）</w:t>
            </w:r>
          </w:p>
        </w:tc>
      </w:tr>
      <w:tr w14:paraId="2D907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180B94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4D814B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2F7BCFB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167456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1D27EBE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-用户N资源1备用容量（4个字节）</w:t>
            </w:r>
          </w:p>
        </w:tc>
      </w:tr>
      <w:tr w14:paraId="29FB9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041FB9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p w14:paraId="5CB34FB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E3863E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5CE0794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BE8E77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188EA09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-用户N资源1类型（可中断、储能、空调）（1个字节）</w:t>
            </w:r>
          </w:p>
        </w:tc>
      </w:tr>
      <w:tr w14:paraId="51390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884BE1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6258DDC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497C6DA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0E929CC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DE0A5B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2E012A7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-用户N资源M备用容量（4个字节）</w:t>
            </w:r>
          </w:p>
        </w:tc>
      </w:tr>
      <w:tr w14:paraId="23520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32168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0C4FBD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14:paraId="1BBDD36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E14859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0" w:type="pct"/>
            <w:tcBorders>
              <w:top w:val="single" w:color="auto" w:sz="4" w:space="0"/>
              <w:left w:val="single" w:color="auto" w:sz="4" w:space="0"/>
              <w:bottom w:val="single" w:color="auto" w:sz="4" w:space="0"/>
              <w:right w:val="single" w:color="auto" w:sz="4" w:space="0"/>
            </w:tcBorders>
            <w:shd w:val="clear" w:color="auto" w:fill="FFFFFF"/>
            <w:vAlign w:val="center"/>
          </w:tcPr>
          <w:p w14:paraId="6FFA3E2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-用户N资源M类型（可中断、储能、空调）（1个字节）</w:t>
            </w:r>
          </w:p>
        </w:tc>
      </w:tr>
    </w:tbl>
    <w:p w14:paraId="008718D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p w14:paraId="47FB356C">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4.日前备用报送</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416"/>
        <w:gridCol w:w="1418"/>
        <w:gridCol w:w="689"/>
        <w:gridCol w:w="694"/>
        <w:gridCol w:w="4302"/>
      </w:tblGrid>
      <w:tr w14:paraId="78B44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67" w:hRule="atLeast"/>
          <w:jc w:val="center"/>
        </w:trPr>
        <w:tc>
          <w:tcPr>
            <w:tcW w:w="831" w:type="pct"/>
            <w:vMerge w:val="restart"/>
            <w:tcBorders>
              <w:top w:val="single" w:color="auto" w:sz="4" w:space="0"/>
              <w:left w:val="single" w:color="auto" w:sz="4" w:space="0"/>
              <w:right w:val="single" w:color="auto" w:sz="4" w:space="0"/>
            </w:tcBorders>
            <w:shd w:val="clear" w:color="auto" w:fill="FFFFFF"/>
            <w:vAlign w:val="center"/>
          </w:tcPr>
          <w:p w14:paraId="2D3DD49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数据结构</w:t>
            </w:r>
          </w:p>
        </w:tc>
        <w:tc>
          <w:tcPr>
            <w:tcW w:w="832" w:type="pct"/>
            <w:vMerge w:val="restart"/>
            <w:tcBorders>
              <w:top w:val="single" w:color="auto" w:sz="4" w:space="0"/>
              <w:left w:val="single" w:color="auto" w:sz="4" w:space="0"/>
              <w:right w:val="single" w:color="auto" w:sz="4" w:space="0"/>
            </w:tcBorders>
            <w:shd w:val="clear" w:color="auto" w:fill="FFFFFF"/>
            <w:vAlign w:val="center"/>
          </w:tcPr>
          <w:p w14:paraId="593367A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811"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9AA4D7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24" w:type="pct"/>
            <w:vMerge w:val="restart"/>
            <w:tcBorders>
              <w:top w:val="single" w:color="auto" w:sz="4" w:space="0"/>
              <w:left w:val="single" w:color="auto" w:sz="4" w:space="0"/>
              <w:right w:val="single" w:color="auto" w:sz="4" w:space="0"/>
            </w:tcBorders>
            <w:shd w:val="clear" w:color="auto" w:fill="FFFFFF"/>
            <w:vAlign w:val="center"/>
          </w:tcPr>
          <w:p w14:paraId="2EB019E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52074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831" w:type="pct"/>
            <w:vMerge w:val="continue"/>
            <w:tcBorders>
              <w:left w:val="single" w:color="auto" w:sz="4" w:space="0"/>
              <w:bottom w:val="single" w:color="auto" w:sz="4" w:space="0"/>
              <w:right w:val="single" w:color="auto" w:sz="4" w:space="0"/>
            </w:tcBorders>
            <w:shd w:val="clear" w:color="auto" w:fill="FFFFFF"/>
            <w:vAlign w:val="center"/>
          </w:tcPr>
          <w:p w14:paraId="5EDDF59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32" w:type="pct"/>
            <w:vMerge w:val="continue"/>
            <w:tcBorders>
              <w:left w:val="single" w:color="auto" w:sz="4" w:space="0"/>
              <w:bottom w:val="single" w:color="auto" w:sz="4" w:space="0"/>
              <w:right w:val="single" w:color="auto" w:sz="4" w:space="0"/>
            </w:tcBorders>
            <w:shd w:val="clear" w:color="auto" w:fill="FFFFFF"/>
            <w:vAlign w:val="center"/>
          </w:tcPr>
          <w:p w14:paraId="6667801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05011D0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6F94405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24" w:type="pct"/>
            <w:vMerge w:val="continue"/>
            <w:tcBorders>
              <w:left w:val="single" w:color="auto" w:sz="4" w:space="0"/>
              <w:right w:val="single" w:color="auto" w:sz="4" w:space="0"/>
            </w:tcBorders>
            <w:shd w:val="clear" w:color="auto" w:fill="FFFFFF"/>
            <w:vAlign w:val="center"/>
          </w:tcPr>
          <w:p w14:paraId="7188704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3D486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3655843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249CC0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5C1016D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36F2714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5929DFD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51F1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12B52E8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2828121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368D541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19B7132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4D65B2A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备用日期（需每日申报）(5个字节)</w:t>
            </w:r>
          </w:p>
        </w:tc>
      </w:tr>
      <w:tr w14:paraId="7B5CB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28D8316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A3B565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505B6D3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2BCA722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2944CB4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申报时间(5个字节)</w:t>
            </w:r>
          </w:p>
        </w:tc>
      </w:tr>
      <w:tr w14:paraId="558BD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3B5B1AE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46A17D2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4D1ABCB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157BC47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1768C83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1C276E0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79090E0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运营商整体备用曲线（带符号上送：正值表示削峰，正备用）</w:t>
            </w:r>
          </w:p>
          <w:p w14:paraId="60B519C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(96*4个字节)</w:t>
            </w:r>
          </w:p>
          <w:p w14:paraId="67F20F2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区间运行的调节功率值,</w:t>
            </w:r>
          </w:p>
          <w:p w14:paraId="42E75CE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区间运行的调节功率值,</w:t>
            </w:r>
          </w:p>
          <w:p w14:paraId="16FC8AB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43503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4F79059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37BC25E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1CCD948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3871E7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元/kW或元/kvar</w:t>
            </w: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4443D38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3978D8F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18BDCA4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分时价格曲线（预留字段）</w:t>
            </w:r>
          </w:p>
          <w:p w14:paraId="0DF96B9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示例：(96*4个字节)</w:t>
            </w:r>
          </w:p>
          <w:p w14:paraId="02BA938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区间价格,</w:t>
            </w:r>
          </w:p>
          <w:p w14:paraId="5374B7A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区间价格,</w:t>
            </w:r>
          </w:p>
          <w:p w14:paraId="21BC1DD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33691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3B41842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EAEB0E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07AD99A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22AA3CB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1B73FF3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是否确认（0：否，1：是）</w:t>
            </w:r>
          </w:p>
          <w:p w14:paraId="347D9FA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系统判断状态用</w:t>
            </w:r>
          </w:p>
        </w:tc>
      </w:tr>
      <w:tr w14:paraId="66113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782514C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0D0E4F7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2214E26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62C385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5D31254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所有用户数量(2个字节BIN)</w:t>
            </w:r>
          </w:p>
        </w:tc>
      </w:tr>
      <w:tr w14:paraId="65136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1E6FE62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0265F2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56BA087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4D1230E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77550F9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所有资源数量(2个字节BIN)</w:t>
            </w:r>
          </w:p>
        </w:tc>
      </w:tr>
      <w:tr w14:paraId="2AD81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6DB7378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C17E81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29EB128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513D8D4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7062202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-资源总数（2个字节）</w:t>
            </w:r>
          </w:p>
        </w:tc>
      </w:tr>
      <w:tr w14:paraId="7F79D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61E210B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3CE4D11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66C76D5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4DA2B08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22B1A80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-当前资源序号(从1开始)</w:t>
            </w:r>
          </w:p>
        </w:tc>
      </w:tr>
      <w:tr w14:paraId="22A42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3E60414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923808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2CA85BF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00808D0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23192B7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-当前资源所属用户编号（4个字节）</w:t>
            </w:r>
          </w:p>
        </w:tc>
      </w:tr>
      <w:tr w14:paraId="13465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0E3D31E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16059BD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26378E8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09416A0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6D2C74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-当前资源资源编号（备用的资源编号）（4个字节）</w:t>
            </w:r>
          </w:p>
        </w:tc>
      </w:tr>
      <w:tr w14:paraId="6AEA3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831" w:type="pct"/>
            <w:tcBorders>
              <w:top w:val="single" w:color="auto" w:sz="4" w:space="0"/>
              <w:left w:val="single" w:color="auto" w:sz="4" w:space="0"/>
              <w:bottom w:val="single" w:color="auto" w:sz="4" w:space="0"/>
              <w:right w:val="single" w:color="auto" w:sz="4" w:space="0"/>
            </w:tcBorders>
            <w:shd w:val="clear" w:color="auto" w:fill="FFFFFF"/>
            <w:vAlign w:val="center"/>
          </w:tcPr>
          <w:p w14:paraId="13956B5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0D0985D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4AFEAB4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32" w:type="pct"/>
            <w:tcBorders>
              <w:top w:val="single" w:color="auto" w:sz="4" w:space="0"/>
              <w:left w:val="single" w:color="auto" w:sz="4" w:space="0"/>
              <w:bottom w:val="single" w:color="auto" w:sz="4" w:space="0"/>
              <w:right w:val="single" w:color="auto" w:sz="4" w:space="0"/>
            </w:tcBorders>
            <w:shd w:val="clear" w:color="auto" w:fill="FFFFFF"/>
            <w:vAlign w:val="center"/>
          </w:tcPr>
          <w:p w14:paraId="60E1E30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404" w:type="pct"/>
            <w:tcBorders>
              <w:top w:val="single" w:color="auto" w:sz="4" w:space="0"/>
              <w:left w:val="single" w:color="auto" w:sz="4" w:space="0"/>
              <w:bottom w:val="single" w:color="auto" w:sz="4" w:space="0"/>
              <w:right w:val="single" w:color="auto" w:sz="4" w:space="0"/>
            </w:tcBorders>
            <w:shd w:val="clear" w:color="auto" w:fill="FFFFFF"/>
            <w:vAlign w:val="center"/>
          </w:tcPr>
          <w:p w14:paraId="6F02AA3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14:paraId="741B8B8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4" w:type="pct"/>
            <w:tcBorders>
              <w:top w:val="single" w:color="auto" w:sz="4" w:space="0"/>
              <w:left w:val="single" w:color="auto" w:sz="4" w:space="0"/>
              <w:bottom w:val="single" w:color="auto" w:sz="4" w:space="0"/>
              <w:right w:val="single" w:color="auto" w:sz="4" w:space="0"/>
            </w:tcBorders>
            <w:shd w:val="clear" w:color="auto" w:fill="FFFFFF"/>
            <w:vAlign w:val="center"/>
          </w:tcPr>
          <w:p w14:paraId="3112F5B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-资源备用曲线（带符号上送：正值表示削峰，正备用）(96*4)</w:t>
            </w:r>
          </w:p>
          <w:p w14:paraId="3CD282B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区间运行的调节功率值,</w:t>
            </w:r>
          </w:p>
          <w:p w14:paraId="3A12D1A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区间运行的调节功率值,</w:t>
            </w:r>
          </w:p>
          <w:p w14:paraId="48FA29B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bl>
    <w:p w14:paraId="35169F57">
      <w:pPr>
        <w:kinsoku w:val="0"/>
        <w:autoSpaceDE w:val="0"/>
        <w:autoSpaceDN w:val="0"/>
        <w:adjustRightInd w:val="0"/>
        <w:snapToGrid w:val="0"/>
        <w:spacing w:before="103" w:line="218" w:lineRule="auto"/>
        <w:textAlignment w:val="baseline"/>
        <w:rPr>
          <w:rFonts w:hint="eastAsia" w:ascii="黑体" w:hAnsi="黑体" w:eastAsia="黑体" w:cs="黑体"/>
          <w:b w:val="0"/>
          <w:bCs/>
          <w:kern w:val="2"/>
          <w:sz w:val="24"/>
          <w:szCs w:val="21"/>
          <w:lang w:val="en-US" w:eastAsia="zh-CN" w:bidi="ar-SA"/>
        </w:rPr>
      </w:pPr>
    </w:p>
    <w:p w14:paraId="091D73B2">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5.有功响应申报</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412"/>
        <w:gridCol w:w="1413"/>
        <w:gridCol w:w="726"/>
        <w:gridCol w:w="641"/>
        <w:gridCol w:w="4327"/>
      </w:tblGrid>
      <w:tr w14:paraId="6B2FA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35" w:hRule="atLeast"/>
          <w:jc w:val="center"/>
        </w:trPr>
        <w:tc>
          <w:tcPr>
            <w:tcW w:w="829" w:type="pct"/>
            <w:vMerge w:val="restart"/>
            <w:tcBorders>
              <w:top w:val="single" w:color="auto" w:sz="4" w:space="0"/>
              <w:left w:val="single" w:color="auto" w:sz="4" w:space="0"/>
              <w:right w:val="single" w:color="auto" w:sz="4" w:space="0"/>
            </w:tcBorders>
            <w:shd w:val="clear" w:color="auto" w:fill="FFFFFF"/>
            <w:vAlign w:val="center"/>
          </w:tcPr>
          <w:p w14:paraId="553D06A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数据结构</w:t>
            </w:r>
          </w:p>
        </w:tc>
        <w:tc>
          <w:tcPr>
            <w:tcW w:w="829" w:type="pct"/>
            <w:vMerge w:val="restart"/>
            <w:tcBorders>
              <w:top w:val="single" w:color="auto" w:sz="4" w:space="0"/>
              <w:left w:val="single" w:color="auto" w:sz="4" w:space="0"/>
              <w:right w:val="single" w:color="auto" w:sz="4" w:space="0"/>
            </w:tcBorders>
            <w:shd w:val="clear" w:color="auto" w:fill="FFFFFF"/>
            <w:vAlign w:val="center"/>
          </w:tcPr>
          <w:p w14:paraId="0E79621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80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E4C21C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39" w:type="pct"/>
            <w:vMerge w:val="restart"/>
            <w:tcBorders>
              <w:top w:val="single" w:color="auto" w:sz="4" w:space="0"/>
              <w:left w:val="single" w:color="auto" w:sz="4" w:space="0"/>
              <w:right w:val="single" w:color="auto" w:sz="4" w:space="0"/>
            </w:tcBorders>
            <w:shd w:val="clear" w:color="auto" w:fill="FFFFFF"/>
            <w:vAlign w:val="center"/>
          </w:tcPr>
          <w:p w14:paraId="096FB30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055D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829" w:type="pct"/>
            <w:vMerge w:val="continue"/>
            <w:tcBorders>
              <w:left w:val="single" w:color="auto" w:sz="4" w:space="0"/>
              <w:bottom w:val="single" w:color="auto" w:sz="4" w:space="0"/>
              <w:right w:val="single" w:color="auto" w:sz="4" w:space="0"/>
            </w:tcBorders>
            <w:shd w:val="clear" w:color="auto" w:fill="FFFFFF"/>
            <w:vAlign w:val="center"/>
          </w:tcPr>
          <w:p w14:paraId="670AFEF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29" w:type="pct"/>
            <w:vMerge w:val="continue"/>
            <w:tcBorders>
              <w:left w:val="single" w:color="auto" w:sz="4" w:space="0"/>
              <w:bottom w:val="single" w:color="auto" w:sz="4" w:space="0"/>
              <w:right w:val="single" w:color="auto" w:sz="4" w:space="0"/>
            </w:tcBorders>
            <w:shd w:val="clear" w:color="auto" w:fill="FFFFFF"/>
            <w:vAlign w:val="center"/>
          </w:tcPr>
          <w:p w14:paraId="384639D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488C978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6C14DCC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39" w:type="pct"/>
            <w:vMerge w:val="continue"/>
            <w:tcBorders>
              <w:left w:val="single" w:color="auto" w:sz="4" w:space="0"/>
              <w:right w:val="single" w:color="auto" w:sz="4" w:space="0"/>
            </w:tcBorders>
            <w:shd w:val="clear" w:color="auto" w:fill="FFFFFF"/>
            <w:vAlign w:val="center"/>
          </w:tcPr>
          <w:p w14:paraId="67D77B3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74DA8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7D7D075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6B8FEB7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583D4B2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6EF11BC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7ABB6FA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7AE68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5171E29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3816342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455EFE5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5F3B6FC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4C6F0DA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需求计划编号（32个字节ASCII）</w:t>
            </w:r>
          </w:p>
        </w:tc>
      </w:tr>
      <w:tr w14:paraId="24A57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60717F3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13E40A2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7B16BC9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1A7F075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78EF3F2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需求类型(1:日前需求响应，2：日内需求响应,3:日前无功需求响应)</w:t>
            </w:r>
          </w:p>
        </w:tc>
      </w:tr>
      <w:tr w14:paraId="4BEF8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7789BCD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64DB728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3D37BBF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78B9782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5A84675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申报时间（5个字节)</w:t>
            </w:r>
          </w:p>
        </w:tc>
      </w:tr>
      <w:tr w14:paraId="51CFA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5D3F686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7CDAA55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30F7441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00F0601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4BC454C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是否参与邀约（0：不参加，1：参加）</w:t>
            </w:r>
          </w:p>
        </w:tc>
      </w:tr>
      <w:tr w14:paraId="5F38D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7F205FC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7CE470B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59E3911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041BBE6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62172DC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367DBBA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2ECC8F6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运营商整体调节能力曲线（带符号上送：正值削峰，负值填谷）</w:t>
            </w:r>
          </w:p>
          <w:p w14:paraId="3F723CB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示例：(4*96字节)</w:t>
            </w:r>
          </w:p>
          <w:p w14:paraId="31601D5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区间运行的调节功率值,</w:t>
            </w:r>
          </w:p>
          <w:p w14:paraId="3C6E07F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区间运行的调节功率值,</w:t>
            </w:r>
          </w:p>
          <w:p w14:paraId="47BC0E5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59245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1392672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3768030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6661884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6571D39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元/kW或元/kvar</w:t>
            </w: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192A525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52ECA05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799C062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分时价格曲线（预留字段）(4*96字节)</w:t>
            </w:r>
          </w:p>
          <w:p w14:paraId="7EE1D77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4BE9D16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区间价格,</w:t>
            </w:r>
          </w:p>
          <w:p w14:paraId="45FE505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区间价格,</w:t>
            </w:r>
          </w:p>
          <w:p w14:paraId="61CE38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0045F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1D4A969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054DD85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5847A2D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1D491A0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2F6BB27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参与用户资源数量（2字节）</w:t>
            </w:r>
          </w:p>
        </w:tc>
      </w:tr>
      <w:tr w14:paraId="0961F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08E0E9E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7E28C0C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6A242CE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5863A38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5F14F3D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是否确认（0：否，1：是）</w:t>
            </w:r>
          </w:p>
        </w:tc>
      </w:tr>
      <w:tr w14:paraId="310B7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15C322E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0338AD2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2DCFBE5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21C3029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3E26DA5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16884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5BC6DD6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XXX...XXX</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4E6E67E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71EBF80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383D91F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056EF7A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需求计划编号（32个字节ASCII）</w:t>
            </w:r>
          </w:p>
        </w:tc>
      </w:tr>
      <w:tr w14:paraId="4C96D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0AC5BD8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0B1B6A8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6A3B214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0C16BFA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5C8C15E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需求类型(1:日前需求响应，2：日内需求响应,3:日前无功需求响应)</w:t>
            </w:r>
          </w:p>
        </w:tc>
      </w:tr>
      <w:tr w14:paraId="48BD3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2F463BD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58D151A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1FDC80E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13104BB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154226E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申报时间(5个字节)</w:t>
            </w:r>
          </w:p>
        </w:tc>
      </w:tr>
      <w:tr w14:paraId="6FD67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5FF2F74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39BA149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7D4A7EF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0285519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41A79EC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参与用户资源数量(2个字节BIN)</w:t>
            </w:r>
          </w:p>
        </w:tc>
      </w:tr>
      <w:tr w14:paraId="40289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142853E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5BC031A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3A5A0C2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157A913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6993CD7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-资源用户编号（4个字节）</w:t>
            </w:r>
          </w:p>
        </w:tc>
      </w:tr>
      <w:tr w14:paraId="4265B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6C63FDD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3BA6EFB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410DF84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3DD5CF3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60E009F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-资源用户调节能力曲线（带符号上送：正值削峰，负值填谷）上报一个时间段</w:t>
            </w:r>
          </w:p>
          <w:p w14:paraId="212A7E2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区间运行的调节功率值,</w:t>
            </w:r>
          </w:p>
        </w:tc>
      </w:tr>
      <w:tr w14:paraId="59605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44AE9DA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5F9DD3E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7D9798A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38E97A6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76F90A3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-资源用户N编号（4个字节）</w:t>
            </w:r>
          </w:p>
        </w:tc>
      </w:tr>
      <w:tr w14:paraId="105E6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02C6DA7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29" w:type="pct"/>
            <w:tcBorders>
              <w:top w:val="single" w:color="auto" w:sz="4" w:space="0"/>
              <w:left w:val="single" w:color="auto" w:sz="4" w:space="0"/>
              <w:bottom w:val="single" w:color="auto" w:sz="4" w:space="0"/>
              <w:right w:val="single" w:color="auto" w:sz="4" w:space="0"/>
            </w:tcBorders>
            <w:shd w:val="clear" w:color="auto" w:fill="FFFFFF"/>
            <w:vAlign w:val="center"/>
          </w:tcPr>
          <w:p w14:paraId="1592212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426" w:type="pct"/>
            <w:tcBorders>
              <w:top w:val="single" w:color="auto" w:sz="4" w:space="0"/>
              <w:left w:val="single" w:color="auto" w:sz="4" w:space="0"/>
              <w:bottom w:val="single" w:color="auto" w:sz="4" w:space="0"/>
              <w:right w:val="single" w:color="auto" w:sz="4" w:space="0"/>
            </w:tcBorders>
            <w:shd w:val="clear" w:color="auto" w:fill="FFFFFF"/>
            <w:vAlign w:val="center"/>
          </w:tcPr>
          <w:p w14:paraId="0E20E1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76" w:type="pct"/>
            <w:tcBorders>
              <w:top w:val="single" w:color="auto" w:sz="4" w:space="0"/>
              <w:left w:val="single" w:color="auto" w:sz="4" w:space="0"/>
              <w:bottom w:val="single" w:color="auto" w:sz="4" w:space="0"/>
              <w:right w:val="single" w:color="auto" w:sz="4" w:space="0"/>
            </w:tcBorders>
            <w:shd w:val="clear" w:color="auto" w:fill="FFFFFF"/>
            <w:vAlign w:val="center"/>
          </w:tcPr>
          <w:p w14:paraId="2D66A93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39" w:type="pct"/>
            <w:tcBorders>
              <w:top w:val="single" w:color="auto" w:sz="4" w:space="0"/>
              <w:left w:val="single" w:color="auto" w:sz="4" w:space="0"/>
              <w:bottom w:val="single" w:color="auto" w:sz="4" w:space="0"/>
              <w:right w:val="single" w:color="auto" w:sz="4" w:space="0"/>
            </w:tcBorders>
            <w:shd w:val="clear" w:color="auto" w:fill="FFFFFF"/>
            <w:vAlign w:val="center"/>
          </w:tcPr>
          <w:p w14:paraId="2769FAD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-资源用户N调节能力曲线（带符号上送：正值削峰，负值填谷）上报一个时间段</w:t>
            </w:r>
          </w:p>
          <w:p w14:paraId="230508E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区间运行的调节功率值,</w:t>
            </w:r>
          </w:p>
        </w:tc>
      </w:tr>
    </w:tbl>
    <w:p w14:paraId="4B5F785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p w14:paraId="689A5F51">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6.异常回复</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454"/>
        <w:gridCol w:w="1454"/>
        <w:gridCol w:w="682"/>
        <w:gridCol w:w="631"/>
        <w:gridCol w:w="4298"/>
      </w:tblGrid>
      <w:tr w14:paraId="75FC0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77" w:hRule="atLeast"/>
          <w:jc w:val="center"/>
        </w:trPr>
        <w:tc>
          <w:tcPr>
            <w:tcW w:w="853" w:type="pct"/>
            <w:vMerge w:val="restart"/>
            <w:tcBorders>
              <w:top w:val="single" w:color="auto" w:sz="4" w:space="0"/>
              <w:left w:val="single" w:color="auto" w:sz="4" w:space="0"/>
              <w:right w:val="single" w:color="auto" w:sz="4" w:space="0"/>
            </w:tcBorders>
            <w:shd w:val="clear" w:color="auto" w:fill="FFFFFF"/>
            <w:vAlign w:val="center"/>
          </w:tcPr>
          <w:p w14:paraId="0621220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数据结构</w:t>
            </w:r>
          </w:p>
        </w:tc>
        <w:tc>
          <w:tcPr>
            <w:tcW w:w="853"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74272F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770"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5C70EB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22" w:type="pct"/>
            <w:vMerge w:val="restart"/>
            <w:tcBorders>
              <w:top w:val="single" w:color="auto" w:sz="4" w:space="0"/>
              <w:left w:val="single" w:color="auto" w:sz="4" w:space="0"/>
              <w:right w:val="single" w:color="auto" w:sz="4" w:space="0"/>
            </w:tcBorders>
            <w:shd w:val="clear" w:color="auto" w:fill="FFFFFF"/>
            <w:vAlign w:val="center"/>
          </w:tcPr>
          <w:p w14:paraId="5CB95A7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6C1A0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853" w:type="pct"/>
            <w:vMerge w:val="continue"/>
            <w:tcBorders>
              <w:left w:val="single" w:color="auto" w:sz="4" w:space="0"/>
              <w:bottom w:val="single" w:color="auto" w:sz="4" w:space="0"/>
              <w:right w:val="single" w:color="auto" w:sz="4" w:space="0"/>
            </w:tcBorders>
            <w:shd w:val="clear" w:color="auto" w:fill="FFFFFF"/>
          </w:tcPr>
          <w:p w14:paraId="6E4D6DD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vMerge w:val="continue"/>
            <w:tcBorders>
              <w:top w:val="single" w:color="auto" w:sz="4" w:space="0"/>
              <w:left w:val="single" w:color="auto" w:sz="4" w:space="0"/>
              <w:bottom w:val="single" w:color="auto" w:sz="4" w:space="0"/>
              <w:right w:val="single" w:color="auto" w:sz="4" w:space="0"/>
            </w:tcBorders>
            <w:shd w:val="clear" w:color="auto" w:fill="FFFFFF"/>
          </w:tcPr>
          <w:p w14:paraId="1E0C9DE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14:paraId="38574F1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14:paraId="6E39F19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22" w:type="pct"/>
            <w:vMerge w:val="continue"/>
            <w:tcBorders>
              <w:left w:val="single" w:color="auto" w:sz="4" w:space="0"/>
              <w:right w:val="single" w:color="auto" w:sz="4" w:space="0"/>
            </w:tcBorders>
            <w:shd w:val="clear" w:color="auto" w:fill="FFFFFF"/>
          </w:tcPr>
          <w:p w14:paraId="05CBFE4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188FA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669DF2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4F02009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14:paraId="1BEB610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14:paraId="780E85B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6E05A82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72D60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77CF17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46700DA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14:paraId="1A41174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14:paraId="4D5CAA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2577C38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上送数据异常标志（0：成功1：失败）</w:t>
            </w:r>
          </w:p>
        </w:tc>
      </w:tr>
      <w:tr w14:paraId="1D4FB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A9A8F0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18E60C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14:paraId="37A6004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0" w:type="pct"/>
            <w:tcBorders>
              <w:top w:val="single" w:color="auto" w:sz="4" w:space="0"/>
              <w:left w:val="single" w:color="auto" w:sz="4" w:space="0"/>
              <w:bottom w:val="single" w:color="auto" w:sz="4" w:space="0"/>
              <w:right w:val="single" w:color="auto" w:sz="4" w:space="0"/>
            </w:tcBorders>
            <w:shd w:val="clear" w:color="auto" w:fill="FFFFFF"/>
            <w:vAlign w:val="center"/>
          </w:tcPr>
          <w:p w14:paraId="0286240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0E3D3E1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上送数据异常说明（32个字节ASCII）</w:t>
            </w:r>
          </w:p>
        </w:tc>
      </w:tr>
    </w:tbl>
    <w:p w14:paraId="5326813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p w14:paraId="2DDE6D8F">
      <w:pPr>
        <w:widowControl/>
        <w:numPr>
          <w:ilvl w:val="255"/>
          <w:numId w:val="0"/>
        </w:numPr>
        <w:tabs>
          <w:tab w:val="left" w:pos="0"/>
        </w:tabs>
        <w:adjustRightInd w:val="0"/>
        <w:snapToGrid w:val="0"/>
        <w:spacing w:line="560" w:lineRule="exact"/>
        <w:ind w:left="420" w:leftChars="200"/>
        <w:jc w:val="left"/>
        <w:rPr>
          <w:rFonts w:hint="default" w:ascii="楷体_GB2312" w:hAnsi="楷体_GB2312" w:eastAsia="楷体_GB2312" w:cs="楷体_GB2312"/>
          <w:sz w:val="32"/>
          <w:lang w:val="en-US" w:eastAsia="zh-CN"/>
        </w:rPr>
      </w:pPr>
      <w:r>
        <w:rPr>
          <w:rFonts w:hint="eastAsia" w:ascii="楷体_GB2312" w:hAnsi="楷体_GB2312" w:eastAsia="楷体_GB2312" w:cs="楷体_GB2312"/>
          <w:sz w:val="32"/>
          <w:lang w:val="en-US" w:eastAsia="zh-CN"/>
        </w:rPr>
        <w:t>（三）响应确认发布</w:t>
      </w:r>
    </w:p>
    <w:p w14:paraId="5CEABC6E">
      <w:pPr>
        <w:widowControl/>
        <w:numPr>
          <w:ilvl w:val="255"/>
          <w:numId w:val="0"/>
        </w:numPr>
        <w:tabs>
          <w:tab w:val="left" w:pos="0"/>
        </w:tabs>
        <w:adjustRightInd w:val="0"/>
        <w:snapToGrid w:val="0"/>
        <w:spacing w:line="560" w:lineRule="exact"/>
        <w:ind w:left="420" w:leftChars="200"/>
        <w:jc w:val="left"/>
        <w:rPr>
          <w:rFonts w:hint="default"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7.备用资源确认</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454"/>
        <w:gridCol w:w="1454"/>
        <w:gridCol w:w="682"/>
        <w:gridCol w:w="639"/>
        <w:gridCol w:w="4290"/>
      </w:tblGrid>
      <w:tr w14:paraId="71992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06" w:hRule="atLeast"/>
          <w:jc w:val="center"/>
        </w:trPr>
        <w:tc>
          <w:tcPr>
            <w:tcW w:w="853" w:type="pct"/>
            <w:vMerge w:val="restart"/>
            <w:tcBorders>
              <w:top w:val="single" w:color="auto" w:sz="4" w:space="0"/>
              <w:left w:val="single" w:color="auto" w:sz="4" w:space="0"/>
              <w:right w:val="single" w:color="auto" w:sz="4" w:space="0"/>
            </w:tcBorders>
            <w:shd w:val="clear" w:color="auto" w:fill="FFFFFF"/>
            <w:vAlign w:val="center"/>
          </w:tcPr>
          <w:p w14:paraId="4424EA3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数据结构</w:t>
            </w:r>
          </w:p>
        </w:tc>
        <w:tc>
          <w:tcPr>
            <w:tcW w:w="853" w:type="pct"/>
            <w:vMerge w:val="restart"/>
            <w:tcBorders>
              <w:top w:val="single" w:color="auto" w:sz="4" w:space="0"/>
              <w:left w:val="single" w:color="auto" w:sz="4" w:space="0"/>
              <w:right w:val="single" w:color="auto" w:sz="4" w:space="0"/>
            </w:tcBorders>
            <w:shd w:val="clear" w:color="auto" w:fill="FFFFFF"/>
            <w:vAlign w:val="center"/>
          </w:tcPr>
          <w:p w14:paraId="660FBF0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775"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429FB8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17" w:type="pct"/>
            <w:vMerge w:val="restart"/>
            <w:tcBorders>
              <w:top w:val="single" w:color="auto" w:sz="4" w:space="0"/>
              <w:left w:val="single" w:color="auto" w:sz="4" w:space="0"/>
              <w:right w:val="single" w:color="auto" w:sz="4" w:space="0"/>
            </w:tcBorders>
            <w:shd w:val="clear" w:color="auto" w:fill="FFFFFF"/>
            <w:vAlign w:val="center"/>
          </w:tcPr>
          <w:p w14:paraId="476B092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120CC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vMerge w:val="continue"/>
            <w:tcBorders>
              <w:left w:val="single" w:color="auto" w:sz="4" w:space="0"/>
              <w:bottom w:val="single" w:color="auto" w:sz="4" w:space="0"/>
              <w:right w:val="single" w:color="auto" w:sz="4" w:space="0"/>
            </w:tcBorders>
            <w:shd w:val="clear" w:color="auto" w:fill="FFFFFF"/>
            <w:vAlign w:val="center"/>
          </w:tcPr>
          <w:p w14:paraId="7D69F0A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vMerge w:val="continue"/>
            <w:tcBorders>
              <w:left w:val="single" w:color="auto" w:sz="4" w:space="0"/>
              <w:bottom w:val="single" w:color="auto" w:sz="4" w:space="0"/>
              <w:right w:val="single" w:color="auto" w:sz="4" w:space="0"/>
            </w:tcBorders>
            <w:shd w:val="clear" w:color="auto" w:fill="FFFFFF"/>
            <w:vAlign w:val="center"/>
          </w:tcPr>
          <w:p w14:paraId="703A89B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14:paraId="3B26A64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14:paraId="67EDA5A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17" w:type="pct"/>
            <w:vMerge w:val="continue"/>
            <w:tcBorders>
              <w:left w:val="single" w:color="auto" w:sz="4" w:space="0"/>
              <w:bottom w:val="single" w:color="auto" w:sz="4" w:space="0"/>
              <w:right w:val="single" w:color="auto" w:sz="4" w:space="0"/>
            </w:tcBorders>
            <w:shd w:val="clear" w:color="auto" w:fill="FFFFFF"/>
            <w:vAlign w:val="center"/>
          </w:tcPr>
          <w:p w14:paraId="2EED31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79B55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6A0E4E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17A64BA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14:paraId="2A4AEDC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14:paraId="1490857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2AEA62B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需求计划编号（32个字节ASCII）</w:t>
            </w:r>
          </w:p>
        </w:tc>
      </w:tr>
      <w:tr w14:paraId="17C18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898BE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CBA280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14:paraId="44C7A59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14:paraId="0521A1C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65A66C9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0FA1C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942BDD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D79893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14:paraId="2BAC33E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14:paraId="0606AD3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77C092B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是否中标（0，否；1，是）</w:t>
            </w:r>
          </w:p>
        </w:tc>
      </w:tr>
      <w:tr w14:paraId="38134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5AF990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01E157F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5F0A86A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7A1AA4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元/kW</w:t>
            </w:r>
          </w:p>
        </w:tc>
        <w:tc>
          <w:tcPr>
            <w:tcW w:w="400" w:type="pct"/>
            <w:tcBorders>
              <w:top w:val="single" w:color="auto" w:sz="4" w:space="0"/>
              <w:left w:val="single" w:color="auto" w:sz="4" w:space="0"/>
              <w:bottom w:val="single" w:color="auto" w:sz="4" w:space="0"/>
              <w:right w:val="single" w:color="auto" w:sz="4" w:space="0"/>
            </w:tcBorders>
            <w:shd w:val="clear" w:color="auto" w:fill="FFFFFF"/>
            <w:vAlign w:val="center"/>
          </w:tcPr>
          <w:p w14:paraId="0727964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14:paraId="2647BBB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5551CC2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分时备用价格(96*4个字节)</w:t>
            </w:r>
          </w:p>
          <w:p w14:paraId="6F5632A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08B3915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区间价格,</w:t>
            </w:r>
          </w:p>
          <w:p w14:paraId="1E1584B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区间价格,</w:t>
            </w:r>
          </w:p>
          <w:p w14:paraId="40D5811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bl>
    <w:p w14:paraId="394F80FE">
      <w:pPr>
        <w:kinsoku w:val="0"/>
        <w:autoSpaceDE w:val="0"/>
        <w:autoSpaceDN w:val="0"/>
        <w:adjustRightInd w:val="0"/>
        <w:snapToGrid w:val="0"/>
        <w:spacing w:before="103" w:line="218" w:lineRule="auto"/>
        <w:ind w:left="75"/>
        <w:textAlignment w:val="baseline"/>
        <w:rPr>
          <w:rFonts w:hint="eastAsia" w:ascii="黑体" w:hAnsi="黑体" w:eastAsia="黑体" w:cs="黑体"/>
          <w:b w:val="0"/>
          <w:bCs/>
          <w:kern w:val="2"/>
          <w:sz w:val="24"/>
          <w:szCs w:val="21"/>
          <w:lang w:val="en-US" w:eastAsia="zh-CN" w:bidi="ar-SA"/>
        </w:rPr>
      </w:pPr>
    </w:p>
    <w:p w14:paraId="27A51A52">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8.有功响应确认</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454"/>
        <w:gridCol w:w="1454"/>
        <w:gridCol w:w="670"/>
        <w:gridCol w:w="643"/>
        <w:gridCol w:w="4298"/>
      </w:tblGrid>
      <w:tr w14:paraId="5E65C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06" w:hRule="atLeast"/>
          <w:jc w:val="center"/>
        </w:trPr>
        <w:tc>
          <w:tcPr>
            <w:tcW w:w="853" w:type="pct"/>
            <w:vMerge w:val="restart"/>
            <w:tcBorders>
              <w:top w:val="single" w:color="auto" w:sz="4" w:space="0"/>
              <w:left w:val="single" w:color="auto" w:sz="4" w:space="0"/>
              <w:right w:val="single" w:color="auto" w:sz="4" w:space="0"/>
            </w:tcBorders>
            <w:shd w:val="clear" w:color="auto" w:fill="FFFFFF"/>
            <w:vAlign w:val="center"/>
          </w:tcPr>
          <w:p w14:paraId="33D0B88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数据结构</w:t>
            </w:r>
          </w:p>
        </w:tc>
        <w:tc>
          <w:tcPr>
            <w:tcW w:w="853" w:type="pct"/>
            <w:vMerge w:val="restart"/>
            <w:tcBorders>
              <w:top w:val="single" w:color="auto" w:sz="4" w:space="0"/>
              <w:left w:val="single" w:color="auto" w:sz="4" w:space="0"/>
              <w:right w:val="single" w:color="auto" w:sz="4" w:space="0"/>
            </w:tcBorders>
            <w:shd w:val="clear" w:color="auto" w:fill="FFFFFF"/>
            <w:vAlign w:val="center"/>
          </w:tcPr>
          <w:p w14:paraId="5A2B289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770"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57AEA0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22" w:type="pct"/>
            <w:vMerge w:val="restart"/>
            <w:tcBorders>
              <w:top w:val="single" w:color="auto" w:sz="4" w:space="0"/>
              <w:left w:val="single" w:color="auto" w:sz="4" w:space="0"/>
              <w:right w:val="single" w:color="auto" w:sz="4" w:space="0"/>
            </w:tcBorders>
            <w:shd w:val="clear" w:color="auto" w:fill="FFFFFF"/>
            <w:vAlign w:val="center"/>
          </w:tcPr>
          <w:p w14:paraId="5873112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2C077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vMerge w:val="continue"/>
            <w:tcBorders>
              <w:left w:val="single" w:color="auto" w:sz="4" w:space="0"/>
              <w:bottom w:val="single" w:color="auto" w:sz="4" w:space="0"/>
              <w:right w:val="single" w:color="auto" w:sz="4" w:space="0"/>
            </w:tcBorders>
            <w:shd w:val="clear" w:color="auto" w:fill="FFFFFF"/>
            <w:vAlign w:val="center"/>
          </w:tcPr>
          <w:p w14:paraId="1684DCC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vMerge w:val="continue"/>
            <w:tcBorders>
              <w:left w:val="single" w:color="auto" w:sz="4" w:space="0"/>
              <w:bottom w:val="single" w:color="auto" w:sz="4" w:space="0"/>
              <w:right w:val="single" w:color="auto" w:sz="4" w:space="0"/>
            </w:tcBorders>
            <w:shd w:val="clear" w:color="auto" w:fill="FFFFFF"/>
            <w:vAlign w:val="center"/>
          </w:tcPr>
          <w:p w14:paraId="1464387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44510CB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53A0DFD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22" w:type="pct"/>
            <w:vMerge w:val="continue"/>
            <w:tcBorders>
              <w:left w:val="single" w:color="auto" w:sz="4" w:space="0"/>
              <w:bottom w:val="single" w:color="auto" w:sz="4" w:space="0"/>
              <w:right w:val="single" w:color="auto" w:sz="4" w:space="0"/>
            </w:tcBorders>
            <w:shd w:val="clear" w:color="auto" w:fill="FFFFFF"/>
            <w:vAlign w:val="center"/>
          </w:tcPr>
          <w:p w14:paraId="0F41D50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1BFD3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FF56E2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1F5F8D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387B0FE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6FE9398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47531AC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需求计划编号（32个字节ASCII）</w:t>
            </w:r>
          </w:p>
        </w:tc>
      </w:tr>
      <w:tr w14:paraId="7089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1AFD1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45AC09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3F6915B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242FC56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537D634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33EA7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4659BB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A23075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3C1546A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71AF2F1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32AB0B2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是否中标（0，否；1，是）</w:t>
            </w:r>
          </w:p>
        </w:tc>
      </w:tr>
      <w:tr w14:paraId="036E0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699FFF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76C7CAB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41B09F3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0DB105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元/kW或元/kvar</w:t>
            </w: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79BB390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37A93D9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3B3CF74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分时价格曲线（预留字段）</w:t>
            </w:r>
          </w:p>
          <w:p w14:paraId="37F8580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示例：(96*4个字节)</w:t>
            </w:r>
          </w:p>
          <w:p w14:paraId="6E6FC2F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00:00-00:15区间价格,</w:t>
            </w:r>
          </w:p>
          <w:p w14:paraId="6D47433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00:15-00:30区间价格</w:t>
            </w:r>
          </w:p>
          <w:p w14:paraId="7F4265F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2C90C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2D6157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0537E32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11CACCC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C34752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02E8C31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64D5493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03289F6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需求时段中标调节能力曲线</w:t>
            </w:r>
          </w:p>
          <w:p w14:paraId="052C966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示例：(96*4个字节)</w:t>
            </w:r>
          </w:p>
          <w:p w14:paraId="0378FC9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区间运行的调节功率值,</w:t>
            </w:r>
          </w:p>
          <w:p w14:paraId="73F2870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区间运行的调节功率值,</w:t>
            </w:r>
          </w:p>
          <w:p w14:paraId="4511CE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68542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14D1CC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7B585F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37C1048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5D14A59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1360203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-用户数量N（1个字节BIN）</w:t>
            </w:r>
          </w:p>
        </w:tc>
      </w:tr>
      <w:tr w14:paraId="46293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DB8D98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7D8680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06B1C62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5FFE91C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tcPr>
          <w:p w14:paraId="51EDE7F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时间（2个字节）</w:t>
            </w:r>
          </w:p>
          <w:p w14:paraId="58672F9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5EFFD02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 区间基线值,</w:t>
            </w:r>
          </w:p>
        </w:tc>
      </w:tr>
      <w:tr w14:paraId="0A196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2089E9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4E9D90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5C49575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0F0BE89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5CC7C29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-用户1编号（4个字节BIN）</w:t>
            </w:r>
          </w:p>
        </w:tc>
      </w:tr>
      <w:tr w14:paraId="3AC8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D36BE0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6CE58C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23096B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57EDDDF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2BF14B7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-用户1需求时段中标调节能力曲线（4个字节）</w:t>
            </w:r>
          </w:p>
        </w:tc>
      </w:tr>
      <w:tr w14:paraId="03F47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6660FF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9E04AD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016AD0E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74F5246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0ECC326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0B0E9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87813D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7BBF1E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20F28AC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67A72E7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6ED6FF0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-用户N编号（4个字节BIN）</w:t>
            </w:r>
          </w:p>
        </w:tc>
      </w:tr>
      <w:tr w14:paraId="65DA7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94AFC7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4F338A3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1F3950B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FFFFFF"/>
            <w:vAlign w:val="center"/>
          </w:tcPr>
          <w:p w14:paraId="3553880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2" w:type="pct"/>
            <w:tcBorders>
              <w:top w:val="single" w:color="auto" w:sz="4" w:space="0"/>
              <w:left w:val="single" w:color="auto" w:sz="4" w:space="0"/>
              <w:bottom w:val="single" w:color="auto" w:sz="4" w:space="0"/>
              <w:right w:val="single" w:color="auto" w:sz="4" w:space="0"/>
            </w:tcBorders>
            <w:shd w:val="clear" w:color="auto" w:fill="FFFFFF"/>
            <w:vAlign w:val="center"/>
          </w:tcPr>
          <w:p w14:paraId="2678AF0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-用户N需求时段中标调节能力曲线（4个字节）</w:t>
            </w:r>
          </w:p>
          <w:p w14:paraId="34ABA48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2A1F58E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区间运行的调节功率值</w:t>
            </w:r>
          </w:p>
        </w:tc>
      </w:tr>
    </w:tbl>
    <w:p w14:paraId="20F6C50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p w14:paraId="5DA74020">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9.实时调节下发</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454"/>
        <w:gridCol w:w="1454"/>
        <w:gridCol w:w="670"/>
        <w:gridCol w:w="651"/>
        <w:gridCol w:w="4290"/>
      </w:tblGrid>
      <w:tr w14:paraId="37A53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06" w:hRule="atLeast"/>
          <w:jc w:val="center"/>
        </w:trPr>
        <w:tc>
          <w:tcPr>
            <w:tcW w:w="853" w:type="pct"/>
            <w:vMerge w:val="restart"/>
            <w:tcBorders>
              <w:top w:val="single" w:color="auto" w:sz="4" w:space="0"/>
              <w:left w:val="single" w:color="auto" w:sz="4" w:space="0"/>
              <w:right w:val="single" w:color="auto" w:sz="4" w:space="0"/>
            </w:tcBorders>
            <w:shd w:val="clear" w:color="auto" w:fill="FFFFFF"/>
            <w:vAlign w:val="center"/>
          </w:tcPr>
          <w:p w14:paraId="06452EA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数据结构</w:t>
            </w:r>
          </w:p>
        </w:tc>
        <w:tc>
          <w:tcPr>
            <w:tcW w:w="853" w:type="pct"/>
            <w:vMerge w:val="restart"/>
            <w:tcBorders>
              <w:top w:val="single" w:color="auto" w:sz="4" w:space="0"/>
              <w:left w:val="single" w:color="auto" w:sz="4" w:space="0"/>
              <w:right w:val="single" w:color="auto" w:sz="4" w:space="0"/>
            </w:tcBorders>
            <w:shd w:val="clear" w:color="auto" w:fill="FFFFFF"/>
            <w:vAlign w:val="center"/>
          </w:tcPr>
          <w:p w14:paraId="1DCD283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775"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7AB3E9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17" w:type="pct"/>
            <w:vMerge w:val="restart"/>
            <w:tcBorders>
              <w:top w:val="single" w:color="auto" w:sz="4" w:space="0"/>
              <w:left w:val="single" w:color="auto" w:sz="4" w:space="0"/>
              <w:right w:val="single" w:color="auto" w:sz="4" w:space="0"/>
            </w:tcBorders>
            <w:shd w:val="clear" w:color="auto" w:fill="FFFFFF"/>
            <w:vAlign w:val="center"/>
          </w:tcPr>
          <w:p w14:paraId="507C082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409F2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vMerge w:val="continue"/>
            <w:tcBorders>
              <w:left w:val="single" w:color="auto" w:sz="4" w:space="0"/>
              <w:bottom w:val="single" w:color="auto" w:sz="4" w:space="0"/>
              <w:right w:val="single" w:color="auto" w:sz="4" w:space="0"/>
            </w:tcBorders>
            <w:shd w:val="clear" w:color="auto" w:fill="FFFFFF"/>
            <w:vAlign w:val="center"/>
          </w:tcPr>
          <w:p w14:paraId="264F75D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3" w:type="pct"/>
            <w:vMerge w:val="continue"/>
            <w:tcBorders>
              <w:left w:val="single" w:color="auto" w:sz="4" w:space="0"/>
              <w:bottom w:val="single" w:color="auto" w:sz="4" w:space="0"/>
              <w:right w:val="single" w:color="auto" w:sz="4" w:space="0"/>
            </w:tcBorders>
            <w:shd w:val="clear" w:color="auto" w:fill="FFFFFF"/>
            <w:vAlign w:val="center"/>
          </w:tcPr>
          <w:p w14:paraId="79C24FF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5486594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52A5E31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17" w:type="pct"/>
            <w:vMerge w:val="continue"/>
            <w:tcBorders>
              <w:left w:val="single" w:color="auto" w:sz="4" w:space="0"/>
              <w:bottom w:val="single" w:color="auto" w:sz="4" w:space="0"/>
              <w:right w:val="single" w:color="auto" w:sz="4" w:space="0"/>
            </w:tcBorders>
            <w:shd w:val="clear" w:color="auto" w:fill="FFFFFF"/>
            <w:vAlign w:val="center"/>
          </w:tcPr>
          <w:p w14:paraId="594B1D3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6EFBCE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EAB815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9C80A0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1AEE5A9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2BE0FBA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6ACD9DD8">
            <w:pPr>
              <w:kinsoku w:val="0"/>
              <w:autoSpaceDE w:val="0"/>
              <w:autoSpaceDN w:val="0"/>
              <w:adjustRightInd w:val="0"/>
              <w:snapToGrid w:val="0"/>
              <w:spacing w:before="103" w:line="218" w:lineRule="auto"/>
              <w:ind w:left="75"/>
              <w:textAlignment w:val="baseline"/>
              <w:rPr>
                <w:rFonts w:hint="default"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指令类型(4:实时响应[备用])</w:t>
            </w:r>
          </w:p>
        </w:tc>
      </w:tr>
      <w:tr w14:paraId="3F85D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4E4048D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765A906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390B475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60A2352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2033644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5DB68F0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2E09213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17E8E7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3B1220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27B4BF1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180E38F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31DE43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0182001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64ACF0B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4CCF22A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调令编号（16个字节ASCII）</w:t>
            </w:r>
          </w:p>
        </w:tc>
      </w:tr>
      <w:tr w14:paraId="16B17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47258EE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7FAF597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6E4AB21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3096A8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728ECC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125BF77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0A86774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调令名称（32个字节ASCII）</w:t>
            </w:r>
          </w:p>
        </w:tc>
      </w:tr>
      <w:tr w14:paraId="2CF8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8A5DE4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13051B0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46CD123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7F5B54E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62C917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调控开始时间(5个字节)</w:t>
            </w:r>
          </w:p>
        </w:tc>
      </w:tr>
      <w:tr w14:paraId="53309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3D214CD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004E55D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6EFDAAD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3ACF36A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14243B4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调控结束时间(5个字节)</w:t>
            </w:r>
          </w:p>
        </w:tc>
      </w:tr>
      <w:tr w14:paraId="74E51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712FAE2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35C7F5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3F596CA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62427AA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7D462F2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整体调节量(4个字节)</w:t>
            </w:r>
          </w:p>
        </w:tc>
      </w:tr>
      <w:tr w14:paraId="624D2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99FC28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5276FBD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5FE089B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5EF8381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24A820A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用户数量（1个字节BIN）</w:t>
            </w:r>
          </w:p>
        </w:tc>
      </w:tr>
      <w:tr w14:paraId="0ADDB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8E6500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3" w:type="pct"/>
            <w:tcBorders>
              <w:top w:val="single" w:color="auto" w:sz="4" w:space="0"/>
              <w:left w:val="single" w:color="auto" w:sz="4" w:space="0"/>
              <w:bottom w:val="single" w:color="auto" w:sz="4" w:space="0"/>
              <w:right w:val="single" w:color="auto" w:sz="4" w:space="0"/>
            </w:tcBorders>
            <w:shd w:val="clear" w:color="auto" w:fill="FFFFFF"/>
            <w:vAlign w:val="center"/>
          </w:tcPr>
          <w:p w14:paraId="2FA45FF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6AFC59B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132AA93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17" w:type="pct"/>
            <w:tcBorders>
              <w:top w:val="single" w:color="auto" w:sz="4" w:space="0"/>
              <w:left w:val="single" w:color="auto" w:sz="4" w:space="0"/>
              <w:bottom w:val="single" w:color="auto" w:sz="4" w:space="0"/>
              <w:right w:val="single" w:color="auto" w:sz="4" w:space="0"/>
            </w:tcBorders>
            <w:shd w:val="clear" w:color="auto" w:fill="FFFFFF"/>
            <w:vAlign w:val="center"/>
          </w:tcPr>
          <w:p w14:paraId="2B229B3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用户编号（4*N个字节）</w:t>
            </w:r>
          </w:p>
        </w:tc>
      </w:tr>
    </w:tbl>
    <w:p w14:paraId="2A2DDC1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p w14:paraId="6E41F8C3">
      <w:pPr>
        <w:widowControl/>
        <w:numPr>
          <w:ilvl w:val="255"/>
          <w:numId w:val="0"/>
        </w:numPr>
        <w:tabs>
          <w:tab w:val="left" w:pos="0"/>
        </w:tabs>
        <w:adjustRightInd w:val="0"/>
        <w:snapToGrid w:val="0"/>
        <w:spacing w:line="560" w:lineRule="exact"/>
        <w:ind w:left="420" w:leftChars="200"/>
        <w:jc w:val="left"/>
        <w:rPr>
          <w:rFonts w:hint="eastAsia" w:ascii="楷体_GB2312" w:hAnsi="楷体_GB2312" w:eastAsia="楷体_GB2312" w:cs="楷体_GB2312"/>
          <w:sz w:val="32"/>
          <w:lang w:val="en-US" w:eastAsia="zh-CN"/>
        </w:rPr>
      </w:pPr>
      <w:r>
        <w:rPr>
          <w:rFonts w:hint="eastAsia" w:ascii="楷体_GB2312" w:hAnsi="楷体_GB2312" w:eastAsia="楷体_GB2312" w:cs="楷体_GB2312"/>
          <w:sz w:val="32"/>
          <w:lang w:val="en-US" w:eastAsia="zh-CN"/>
        </w:rPr>
        <w:t>（四）运行数据监测</w:t>
      </w:r>
    </w:p>
    <w:p w14:paraId="434C8858">
      <w:pPr>
        <w:kinsoku w:val="0"/>
        <w:autoSpaceDE w:val="0"/>
        <w:autoSpaceDN w:val="0"/>
        <w:adjustRightInd w:val="0"/>
        <w:snapToGrid w:val="0"/>
        <w:spacing w:before="103" w:line="218" w:lineRule="auto"/>
        <w:ind w:firstLine="320" w:firstLineChars="100"/>
        <w:textAlignment w:val="baseline"/>
        <w:rPr>
          <w:rFonts w:hint="eastAsia" w:ascii="黑体" w:hAnsi="黑体" w:eastAsia="黑体" w:cs="黑体"/>
          <w:b w:val="0"/>
          <w:bCs/>
          <w:kern w:val="2"/>
          <w:sz w:val="24"/>
          <w:szCs w:val="21"/>
          <w:lang w:val="en-US" w:eastAsia="zh-CN" w:bidi="ar-SA"/>
        </w:rPr>
      </w:pPr>
      <w:r>
        <w:rPr>
          <w:rFonts w:hint="eastAsia" w:ascii="仿宋_GB2312" w:hAnsi="仿宋_GB2312" w:eastAsia="仿宋_GB2312" w:cs="仿宋_GB2312"/>
          <w:sz w:val="32"/>
          <w:lang w:val="en-US" w:eastAsia="zh-CN"/>
        </w:rPr>
        <w:t>10.运行负荷数据</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970"/>
        <w:gridCol w:w="936"/>
        <w:gridCol w:w="670"/>
        <w:gridCol w:w="651"/>
        <w:gridCol w:w="4292"/>
      </w:tblGrid>
      <w:tr w14:paraId="52623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06" w:hRule="atLeast"/>
          <w:jc w:val="center"/>
        </w:trPr>
        <w:tc>
          <w:tcPr>
            <w:tcW w:w="1156" w:type="pct"/>
            <w:vMerge w:val="restart"/>
            <w:tcBorders>
              <w:top w:val="single" w:color="auto" w:sz="4" w:space="0"/>
              <w:left w:val="single" w:color="auto" w:sz="4" w:space="0"/>
              <w:right w:val="single" w:color="auto" w:sz="4" w:space="0"/>
            </w:tcBorders>
            <w:shd w:val="clear" w:color="auto" w:fill="FFFFFF"/>
            <w:vAlign w:val="center"/>
          </w:tcPr>
          <w:p w14:paraId="410B133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数据结构</w:t>
            </w:r>
          </w:p>
        </w:tc>
        <w:tc>
          <w:tcPr>
            <w:tcW w:w="549" w:type="pct"/>
            <w:vMerge w:val="restart"/>
            <w:tcBorders>
              <w:top w:val="single" w:color="auto" w:sz="4" w:space="0"/>
              <w:left w:val="single" w:color="auto" w:sz="4" w:space="0"/>
              <w:right w:val="single" w:color="auto" w:sz="4" w:space="0"/>
            </w:tcBorders>
            <w:shd w:val="clear" w:color="auto" w:fill="FFFFFF"/>
            <w:vAlign w:val="center"/>
          </w:tcPr>
          <w:p w14:paraId="1954BC4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775"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ED35CD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18" w:type="pct"/>
            <w:vMerge w:val="restart"/>
            <w:tcBorders>
              <w:top w:val="single" w:color="auto" w:sz="4" w:space="0"/>
              <w:left w:val="single" w:color="auto" w:sz="4" w:space="0"/>
              <w:right w:val="single" w:color="auto" w:sz="4" w:space="0"/>
            </w:tcBorders>
            <w:shd w:val="clear" w:color="auto" w:fill="FFFFFF"/>
            <w:vAlign w:val="center"/>
          </w:tcPr>
          <w:p w14:paraId="20BD39F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41CC4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156" w:type="pct"/>
            <w:vMerge w:val="continue"/>
            <w:tcBorders>
              <w:left w:val="single" w:color="auto" w:sz="4" w:space="0"/>
              <w:bottom w:val="single" w:color="auto" w:sz="4" w:space="0"/>
              <w:right w:val="single" w:color="auto" w:sz="4" w:space="0"/>
            </w:tcBorders>
            <w:shd w:val="clear" w:color="auto" w:fill="FFFFFF"/>
            <w:vAlign w:val="center"/>
          </w:tcPr>
          <w:p w14:paraId="32ED69B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549" w:type="pct"/>
            <w:vMerge w:val="continue"/>
            <w:tcBorders>
              <w:left w:val="single" w:color="auto" w:sz="4" w:space="0"/>
              <w:bottom w:val="single" w:color="auto" w:sz="4" w:space="0"/>
              <w:right w:val="single" w:color="auto" w:sz="4" w:space="0"/>
            </w:tcBorders>
            <w:shd w:val="clear" w:color="auto" w:fill="FFFFFF"/>
            <w:vAlign w:val="center"/>
          </w:tcPr>
          <w:p w14:paraId="6A4E9F3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1E386D6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47F8409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18" w:type="pct"/>
            <w:vMerge w:val="continue"/>
            <w:tcBorders>
              <w:left w:val="single" w:color="auto" w:sz="4" w:space="0"/>
              <w:bottom w:val="single" w:color="auto" w:sz="4" w:space="0"/>
              <w:right w:val="single" w:color="auto" w:sz="4" w:space="0"/>
            </w:tcBorders>
            <w:shd w:val="clear" w:color="auto" w:fill="FFFFFF"/>
            <w:vAlign w:val="center"/>
          </w:tcPr>
          <w:p w14:paraId="0FE6FBE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729B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417B93B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290273F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75C3C39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0054DCA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710DD5F3">
            <w:pPr>
              <w:kinsoku w:val="0"/>
              <w:autoSpaceDE w:val="0"/>
              <w:autoSpaceDN w:val="0"/>
              <w:adjustRightInd w:val="0"/>
              <w:snapToGrid w:val="0"/>
              <w:spacing w:before="103" w:line="218" w:lineRule="auto"/>
              <w:ind w:left="75"/>
              <w:textAlignment w:val="baseline"/>
              <w:rPr>
                <w:rFonts w:hint="default"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用户总数量N</w:t>
            </w:r>
          </w:p>
        </w:tc>
      </w:tr>
      <w:tr w14:paraId="4B9FF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66A657A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50FBC1C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27CD3A4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4D0151E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4070076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用户1编号（4个字节BIN）</w:t>
            </w:r>
          </w:p>
        </w:tc>
      </w:tr>
      <w:tr w14:paraId="66D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10503C2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5A63D8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5F06113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6B517ED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581BFD0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用户1资源总数量M</w:t>
            </w:r>
          </w:p>
        </w:tc>
      </w:tr>
      <w:tr w14:paraId="1E79BC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3B5D4DD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028A03D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17A9E82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4D84195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5D2EC3D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-用户1资源1资源编号（4个字节BIN）</w:t>
            </w:r>
          </w:p>
        </w:tc>
      </w:tr>
      <w:tr w14:paraId="38841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075CEDD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10F084D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5AB1784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5A4085D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3AAA36C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-用户1资源1功率（4个字节BCD）</w:t>
            </w:r>
          </w:p>
        </w:tc>
      </w:tr>
      <w:tr w14:paraId="750CE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42509D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45D2CC1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23D03B7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5C7FCC4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42BE82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04CB9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0F370FA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668149E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09A410B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3E8B0F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5C9C4E3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-用户1资源M资源编号（4个字节BIN）</w:t>
            </w:r>
          </w:p>
        </w:tc>
      </w:tr>
      <w:tr w14:paraId="3D225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18BE8E7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5C46CF9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147B35F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750A31A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489C64E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-用户1资源M功率（4个字节BCD）</w:t>
            </w:r>
          </w:p>
        </w:tc>
      </w:tr>
      <w:tr w14:paraId="37159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2CBF4AC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2AED72B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02DB8EB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2DF29C6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7F1D6EA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0B61A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566C192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47C1367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4E04431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5913BBF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5AB0321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用户N编号（4个字节BIN）</w:t>
            </w:r>
          </w:p>
        </w:tc>
      </w:tr>
      <w:tr w14:paraId="1927E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55FDDB3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727014A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44B4AFC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2D99E74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7196541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用户N资源总数量M</w:t>
            </w:r>
          </w:p>
        </w:tc>
      </w:tr>
      <w:tr w14:paraId="26F50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508CF13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658791E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2B0ADFC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6A4263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38DB4D2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-用户N资源1资源编号（4个字节BIN）</w:t>
            </w:r>
          </w:p>
        </w:tc>
      </w:tr>
      <w:tr w14:paraId="46C1C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29255ED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2792AB3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7F80E70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5D53BC3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6660F20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-用户N资源1功率（4个字节BCD）</w:t>
            </w:r>
          </w:p>
        </w:tc>
      </w:tr>
      <w:tr w14:paraId="4C553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3581EBB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1EF691B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6647397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75B8B86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2C9158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5E985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tcBorders>
              <w:top w:val="single" w:color="auto" w:sz="4" w:space="0"/>
              <w:left w:val="single" w:color="auto" w:sz="4" w:space="0"/>
              <w:bottom w:val="single" w:color="auto" w:sz="4" w:space="0"/>
              <w:right w:val="single" w:color="auto" w:sz="4" w:space="0"/>
            </w:tcBorders>
            <w:shd w:val="clear" w:color="auto" w:fill="FFFFFF"/>
            <w:vAlign w:val="center"/>
          </w:tcPr>
          <w:p w14:paraId="18B169A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tcBorders>
              <w:top w:val="single" w:color="auto" w:sz="4" w:space="0"/>
              <w:left w:val="single" w:color="auto" w:sz="4" w:space="0"/>
              <w:bottom w:val="single" w:color="auto" w:sz="4" w:space="0"/>
              <w:right w:val="single" w:color="auto" w:sz="4" w:space="0"/>
            </w:tcBorders>
            <w:shd w:val="clear" w:color="auto" w:fill="FFFFFF"/>
            <w:vAlign w:val="center"/>
          </w:tcPr>
          <w:p w14:paraId="7E8271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0AC0A80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tcBorders>
              <w:top w:val="single" w:color="auto" w:sz="4" w:space="0"/>
              <w:left w:val="single" w:color="auto" w:sz="4" w:space="0"/>
              <w:bottom w:val="single" w:color="auto" w:sz="4" w:space="0"/>
              <w:right w:val="single" w:color="auto" w:sz="4" w:space="0"/>
            </w:tcBorders>
            <w:shd w:val="clear" w:color="auto" w:fill="FFFFFF"/>
            <w:vAlign w:val="center"/>
          </w:tcPr>
          <w:p w14:paraId="76FB0ED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tcBorders>
              <w:top w:val="single" w:color="auto" w:sz="4" w:space="0"/>
              <w:left w:val="single" w:color="auto" w:sz="4" w:space="0"/>
              <w:bottom w:val="single" w:color="auto" w:sz="4" w:space="0"/>
              <w:right w:val="single" w:color="auto" w:sz="4" w:space="0"/>
            </w:tcBorders>
            <w:shd w:val="clear" w:color="auto" w:fill="FFFFFF"/>
            <w:vAlign w:val="center"/>
          </w:tcPr>
          <w:p w14:paraId="4EDB62B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-用户N资源M资源编号（4个字节BIN）</w:t>
            </w:r>
          </w:p>
        </w:tc>
      </w:tr>
      <w:tr w14:paraId="18D94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156" w:type="pct"/>
            <w:shd w:val="clear" w:color="auto" w:fill="FFFFFF"/>
            <w:vAlign w:val="center"/>
          </w:tcPr>
          <w:p w14:paraId="49C4BB4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549" w:type="pct"/>
            <w:shd w:val="clear" w:color="auto" w:fill="FFFFFF"/>
            <w:vAlign w:val="center"/>
          </w:tcPr>
          <w:p w14:paraId="38EA3A3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93" w:type="pct"/>
            <w:shd w:val="clear" w:color="auto" w:fill="FFFFFF"/>
            <w:vAlign w:val="center"/>
          </w:tcPr>
          <w:p w14:paraId="2447B86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82" w:type="pct"/>
            <w:shd w:val="clear" w:color="auto" w:fill="FFFFFF"/>
            <w:vAlign w:val="center"/>
          </w:tcPr>
          <w:p w14:paraId="051B23B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2518" w:type="pct"/>
            <w:shd w:val="clear" w:color="auto" w:fill="FFFFFF"/>
            <w:vAlign w:val="center"/>
          </w:tcPr>
          <w:p w14:paraId="3670110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-用户N资源M功率（4个字节BCD）</w:t>
            </w:r>
          </w:p>
        </w:tc>
      </w:tr>
    </w:tbl>
    <w:p w14:paraId="7F415E3B">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11.历史负荷召测</w:t>
      </w:r>
    </w:p>
    <w:tbl>
      <w:tblPr>
        <w:tblStyle w:val="43"/>
        <w:tblW w:w="4999" w:type="pct"/>
        <w:jc w:val="center"/>
        <w:tblLayout w:type="autofit"/>
        <w:tblCellMar>
          <w:top w:w="0" w:type="dxa"/>
          <w:left w:w="0" w:type="dxa"/>
          <w:bottom w:w="0" w:type="dxa"/>
          <w:right w:w="0" w:type="dxa"/>
        </w:tblCellMar>
      </w:tblPr>
      <w:tblGrid>
        <w:gridCol w:w="1695"/>
        <w:gridCol w:w="767"/>
        <w:gridCol w:w="800"/>
        <w:gridCol w:w="5052"/>
      </w:tblGrid>
      <w:tr w14:paraId="009BC7BB">
        <w:tblPrEx>
          <w:tblCellMar>
            <w:top w:w="0" w:type="dxa"/>
            <w:left w:w="0" w:type="dxa"/>
            <w:bottom w:w="0" w:type="dxa"/>
            <w:right w:w="0" w:type="dxa"/>
          </w:tblCellMar>
        </w:tblPrEx>
        <w:trPr>
          <w:trHeight w:val="363" w:hRule="atLeast"/>
          <w:jc w:val="center"/>
        </w:trPr>
        <w:tc>
          <w:tcPr>
            <w:tcW w:w="1019" w:type="pct"/>
            <w:vMerge w:val="restart"/>
            <w:tcBorders>
              <w:top w:val="single" w:color="000000" w:sz="4" w:space="0"/>
              <w:left w:val="single" w:color="000000" w:sz="4" w:space="0"/>
              <w:right w:val="single" w:color="000000" w:sz="4" w:space="0"/>
            </w:tcBorders>
            <w:vAlign w:val="center"/>
          </w:tcPr>
          <w:p w14:paraId="7FA6E01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942" w:type="pct"/>
            <w:gridSpan w:val="2"/>
            <w:tcBorders>
              <w:top w:val="single" w:color="000000" w:sz="4" w:space="0"/>
              <w:left w:val="single" w:color="000000" w:sz="4" w:space="0"/>
              <w:bottom w:val="single" w:color="000000" w:sz="4" w:space="0"/>
              <w:right w:val="single" w:color="000000" w:sz="4" w:space="0"/>
            </w:tcBorders>
            <w:vAlign w:val="center"/>
          </w:tcPr>
          <w:p w14:paraId="7DFB06B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3037" w:type="pct"/>
            <w:vMerge w:val="restart"/>
            <w:tcBorders>
              <w:top w:val="single" w:color="000000" w:sz="4" w:space="0"/>
              <w:left w:val="single" w:color="000000" w:sz="4" w:space="0"/>
              <w:right w:val="single" w:color="000000" w:sz="4" w:space="0"/>
            </w:tcBorders>
            <w:vAlign w:val="center"/>
          </w:tcPr>
          <w:p w14:paraId="6E8D530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015F6100">
        <w:tblPrEx>
          <w:tblCellMar>
            <w:top w:w="0" w:type="dxa"/>
            <w:left w:w="0" w:type="dxa"/>
            <w:bottom w:w="0" w:type="dxa"/>
            <w:right w:w="0" w:type="dxa"/>
          </w:tblCellMar>
        </w:tblPrEx>
        <w:trPr>
          <w:trHeight w:val="363" w:hRule="atLeast"/>
          <w:jc w:val="center"/>
        </w:trPr>
        <w:tc>
          <w:tcPr>
            <w:tcW w:w="1019" w:type="pct"/>
            <w:vMerge w:val="continue"/>
            <w:tcBorders>
              <w:left w:val="single" w:color="000000" w:sz="4" w:space="0"/>
              <w:bottom w:val="single" w:color="000000" w:sz="4" w:space="0"/>
              <w:right w:val="single" w:color="000000" w:sz="4" w:space="0"/>
            </w:tcBorders>
            <w:vAlign w:val="center"/>
          </w:tcPr>
          <w:p w14:paraId="3FD856D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61" w:type="pct"/>
            <w:tcBorders>
              <w:top w:val="single" w:color="000000" w:sz="4" w:space="0"/>
              <w:left w:val="single" w:color="000000" w:sz="4" w:space="0"/>
              <w:bottom w:val="single" w:color="000000" w:sz="4" w:space="0"/>
              <w:right w:val="single" w:color="000000" w:sz="4" w:space="0"/>
            </w:tcBorders>
            <w:vAlign w:val="center"/>
          </w:tcPr>
          <w:p w14:paraId="7CDD5AD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480" w:type="pct"/>
            <w:tcBorders>
              <w:top w:val="single" w:color="000000" w:sz="4" w:space="0"/>
              <w:left w:val="single" w:color="000000" w:sz="4" w:space="0"/>
              <w:bottom w:val="single" w:color="000000" w:sz="4" w:space="0"/>
              <w:right w:val="single" w:color="000000" w:sz="4" w:space="0"/>
            </w:tcBorders>
            <w:vAlign w:val="center"/>
          </w:tcPr>
          <w:p w14:paraId="7290BF0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3037" w:type="pct"/>
            <w:vMerge w:val="continue"/>
            <w:tcBorders>
              <w:left w:val="single" w:color="000000" w:sz="4" w:space="0"/>
              <w:bottom w:val="single" w:color="000000" w:sz="4" w:space="0"/>
              <w:right w:val="single" w:color="000000" w:sz="4" w:space="0"/>
            </w:tcBorders>
            <w:vAlign w:val="center"/>
          </w:tcPr>
          <w:p w14:paraId="66E16C7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76F4B91C">
        <w:tblPrEx>
          <w:tblCellMar>
            <w:top w:w="0" w:type="dxa"/>
            <w:left w:w="0" w:type="dxa"/>
            <w:bottom w:w="0" w:type="dxa"/>
            <w:right w:w="0" w:type="dxa"/>
          </w:tblCellMar>
        </w:tblPrEx>
        <w:trPr>
          <w:trHeight w:val="335" w:hRule="atLeast"/>
          <w:jc w:val="center"/>
        </w:trPr>
        <w:tc>
          <w:tcPr>
            <w:tcW w:w="1019" w:type="pct"/>
            <w:tcBorders>
              <w:top w:val="single" w:color="000000" w:sz="4" w:space="0"/>
              <w:left w:val="single" w:color="000000" w:sz="4" w:space="0"/>
              <w:bottom w:val="single" w:color="000000" w:sz="4" w:space="0"/>
              <w:right w:val="single" w:color="000000" w:sz="4" w:space="0"/>
            </w:tcBorders>
            <w:vAlign w:val="center"/>
          </w:tcPr>
          <w:p w14:paraId="251DF11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61" w:type="pct"/>
            <w:tcBorders>
              <w:top w:val="single" w:color="000000" w:sz="4" w:space="0"/>
              <w:left w:val="single" w:color="000000" w:sz="4" w:space="0"/>
              <w:bottom w:val="single" w:color="000000" w:sz="4" w:space="0"/>
              <w:right w:val="single" w:color="000000" w:sz="4" w:space="0"/>
            </w:tcBorders>
            <w:vAlign w:val="center"/>
          </w:tcPr>
          <w:p w14:paraId="5325DA6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F64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0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7EA1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w:t>
            </w:r>
          </w:p>
        </w:tc>
      </w:tr>
      <w:tr w14:paraId="6CBF7D86">
        <w:tblPrEx>
          <w:tblCellMar>
            <w:top w:w="0" w:type="dxa"/>
            <w:left w:w="0" w:type="dxa"/>
            <w:bottom w:w="0" w:type="dxa"/>
            <w:right w:w="0" w:type="dxa"/>
          </w:tblCellMar>
        </w:tblPrEx>
        <w:trPr>
          <w:trHeight w:val="335" w:hRule="atLeast"/>
          <w:jc w:val="center"/>
        </w:trPr>
        <w:tc>
          <w:tcPr>
            <w:tcW w:w="1019" w:type="pct"/>
            <w:tcBorders>
              <w:top w:val="single" w:color="000000" w:sz="4" w:space="0"/>
              <w:left w:val="single" w:color="000000" w:sz="4" w:space="0"/>
              <w:bottom w:val="single" w:color="000000" w:sz="4" w:space="0"/>
              <w:right w:val="single" w:color="000000" w:sz="4" w:space="0"/>
            </w:tcBorders>
            <w:vAlign w:val="center"/>
          </w:tcPr>
          <w:p w14:paraId="4EF349F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61" w:type="pct"/>
            <w:tcBorders>
              <w:top w:val="single" w:color="000000" w:sz="4" w:space="0"/>
              <w:left w:val="single" w:color="000000" w:sz="4" w:space="0"/>
              <w:bottom w:val="single" w:color="000000" w:sz="4" w:space="0"/>
              <w:right w:val="single" w:color="000000" w:sz="4" w:space="0"/>
            </w:tcBorders>
            <w:vAlign w:val="center"/>
          </w:tcPr>
          <w:p w14:paraId="6AF68D7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9FB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0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F70E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资源数据标识</w:t>
            </w:r>
          </w:p>
        </w:tc>
      </w:tr>
      <w:tr w14:paraId="0A0620CD">
        <w:tblPrEx>
          <w:tblCellMar>
            <w:top w:w="0" w:type="dxa"/>
            <w:left w:w="0" w:type="dxa"/>
            <w:bottom w:w="0" w:type="dxa"/>
            <w:right w:w="0" w:type="dxa"/>
          </w:tblCellMar>
        </w:tblPrEx>
        <w:trPr>
          <w:trHeight w:val="335" w:hRule="atLeast"/>
          <w:jc w:val="center"/>
        </w:trPr>
        <w:tc>
          <w:tcPr>
            <w:tcW w:w="1019" w:type="pct"/>
            <w:tcBorders>
              <w:top w:val="single" w:color="000000" w:sz="4" w:space="0"/>
              <w:left w:val="single" w:color="000000" w:sz="4" w:space="0"/>
              <w:bottom w:val="single" w:color="000000" w:sz="4" w:space="0"/>
              <w:right w:val="single" w:color="000000" w:sz="4" w:space="0"/>
            </w:tcBorders>
            <w:vAlign w:val="center"/>
          </w:tcPr>
          <w:p w14:paraId="42BD371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61" w:type="pct"/>
            <w:tcBorders>
              <w:top w:val="single" w:color="000000" w:sz="4" w:space="0"/>
              <w:left w:val="single" w:color="000000" w:sz="4" w:space="0"/>
              <w:bottom w:val="single" w:color="000000" w:sz="4" w:space="0"/>
              <w:right w:val="single" w:color="000000" w:sz="4" w:space="0"/>
            </w:tcBorders>
            <w:vAlign w:val="center"/>
          </w:tcPr>
          <w:p w14:paraId="3F255F9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D975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0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4ADA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召测数据开始时间</w:t>
            </w:r>
          </w:p>
        </w:tc>
      </w:tr>
      <w:tr w14:paraId="1E65AFC8">
        <w:tblPrEx>
          <w:tblCellMar>
            <w:top w:w="0" w:type="dxa"/>
            <w:left w:w="0" w:type="dxa"/>
            <w:bottom w:w="0" w:type="dxa"/>
            <w:right w:w="0" w:type="dxa"/>
          </w:tblCellMar>
        </w:tblPrEx>
        <w:trPr>
          <w:trHeight w:val="335" w:hRule="atLeast"/>
          <w:jc w:val="center"/>
        </w:trPr>
        <w:tc>
          <w:tcPr>
            <w:tcW w:w="1019" w:type="pct"/>
            <w:tcBorders>
              <w:top w:val="single" w:color="000000" w:sz="4" w:space="0"/>
              <w:left w:val="single" w:color="000000" w:sz="4" w:space="0"/>
              <w:bottom w:val="single" w:color="000000" w:sz="4" w:space="0"/>
              <w:right w:val="single" w:color="000000" w:sz="4" w:space="0"/>
            </w:tcBorders>
            <w:vAlign w:val="center"/>
          </w:tcPr>
          <w:p w14:paraId="69DBEE7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61" w:type="pct"/>
            <w:tcBorders>
              <w:top w:val="single" w:color="000000" w:sz="4" w:space="0"/>
              <w:left w:val="single" w:color="000000" w:sz="4" w:space="0"/>
              <w:bottom w:val="single" w:color="000000" w:sz="4" w:space="0"/>
              <w:right w:val="single" w:color="000000" w:sz="4" w:space="0"/>
            </w:tcBorders>
            <w:vAlign w:val="center"/>
          </w:tcPr>
          <w:p w14:paraId="269F2CE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B2B1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0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4803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召测数据结束时间</w:t>
            </w:r>
          </w:p>
        </w:tc>
      </w:tr>
      <w:tr w14:paraId="22EFDD7A">
        <w:tblPrEx>
          <w:tblCellMar>
            <w:top w:w="0" w:type="dxa"/>
            <w:left w:w="0" w:type="dxa"/>
            <w:bottom w:w="0" w:type="dxa"/>
            <w:right w:w="0" w:type="dxa"/>
          </w:tblCellMar>
        </w:tblPrEx>
        <w:trPr>
          <w:trHeight w:val="363" w:hRule="atLeast"/>
          <w:jc w:val="center"/>
        </w:trPr>
        <w:tc>
          <w:tcPr>
            <w:tcW w:w="1019" w:type="pct"/>
            <w:tcBorders>
              <w:top w:val="single" w:color="000000" w:sz="4" w:space="0"/>
              <w:left w:val="single" w:color="000000" w:sz="4" w:space="0"/>
              <w:bottom w:val="single" w:color="000000" w:sz="4" w:space="0"/>
              <w:right w:val="single" w:color="000000" w:sz="4" w:space="0"/>
            </w:tcBorders>
            <w:vAlign w:val="center"/>
          </w:tcPr>
          <w:p w14:paraId="53588F3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61" w:type="pct"/>
            <w:tcBorders>
              <w:top w:val="single" w:color="000000" w:sz="4" w:space="0"/>
              <w:left w:val="single" w:color="000000" w:sz="4" w:space="0"/>
              <w:bottom w:val="single" w:color="000000" w:sz="4" w:space="0"/>
              <w:right w:val="single" w:color="000000" w:sz="4" w:space="0"/>
            </w:tcBorders>
            <w:vAlign w:val="center"/>
          </w:tcPr>
          <w:p w14:paraId="4A33253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F989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0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211E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数据采集时间（5分钟级）</w:t>
            </w:r>
          </w:p>
          <w:p w14:paraId="4DBBBC0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313C47D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2025-06-25 00:00,</w:t>
            </w:r>
          </w:p>
          <w:p w14:paraId="6EEA936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2025-06-25 00:05,</w:t>
            </w:r>
          </w:p>
          <w:p w14:paraId="5F58014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701342E8">
        <w:tblPrEx>
          <w:tblCellMar>
            <w:top w:w="0" w:type="dxa"/>
            <w:left w:w="0" w:type="dxa"/>
            <w:bottom w:w="0" w:type="dxa"/>
            <w:right w:w="0" w:type="dxa"/>
          </w:tblCellMar>
        </w:tblPrEx>
        <w:trPr>
          <w:trHeight w:val="363" w:hRule="atLeast"/>
          <w:jc w:val="center"/>
        </w:trPr>
        <w:tc>
          <w:tcPr>
            <w:tcW w:w="1019" w:type="pct"/>
            <w:tcBorders>
              <w:top w:val="single" w:color="000000" w:sz="4" w:space="0"/>
              <w:left w:val="single" w:color="000000" w:sz="4" w:space="0"/>
              <w:bottom w:val="single" w:color="000000" w:sz="4" w:space="0"/>
              <w:right w:val="single" w:color="000000" w:sz="4" w:space="0"/>
            </w:tcBorders>
            <w:vAlign w:val="center"/>
          </w:tcPr>
          <w:p w14:paraId="6478E08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461" w:type="pct"/>
            <w:tcBorders>
              <w:top w:val="single" w:color="000000" w:sz="4" w:space="0"/>
              <w:left w:val="single" w:color="000000" w:sz="4" w:space="0"/>
              <w:bottom w:val="single" w:color="000000" w:sz="4" w:space="0"/>
              <w:right w:val="single" w:color="000000" w:sz="4" w:space="0"/>
            </w:tcBorders>
            <w:vAlign w:val="center"/>
          </w:tcPr>
          <w:p w14:paraId="3C10C0D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9D36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30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F018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有功功率</w:t>
            </w:r>
          </w:p>
        </w:tc>
      </w:tr>
    </w:tbl>
    <w:p w14:paraId="2589B70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eastAsia="en-US" w:bidi="ar"/>
        </w:rPr>
        <w:sectPr>
          <w:pgSz w:w="11906" w:h="16838"/>
          <w:pgMar w:top="1440" w:right="1800" w:bottom="1440" w:left="1800" w:header="851" w:footer="992" w:gutter="0"/>
          <w:pgNumType w:fmt="numberInDash"/>
          <w:cols w:space="720" w:num="1"/>
          <w:docGrid w:type="lines" w:linePitch="312" w:charSpace="0"/>
        </w:sectPr>
      </w:pPr>
    </w:p>
    <w:p w14:paraId="188242B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p w14:paraId="118BF7CE">
      <w:pPr>
        <w:widowControl/>
        <w:numPr>
          <w:ilvl w:val="255"/>
          <w:numId w:val="0"/>
        </w:numPr>
        <w:tabs>
          <w:tab w:val="left" w:pos="0"/>
        </w:tabs>
        <w:adjustRightInd w:val="0"/>
        <w:snapToGrid w:val="0"/>
        <w:spacing w:line="560" w:lineRule="exact"/>
        <w:ind w:left="420" w:leftChars="200"/>
        <w:jc w:val="left"/>
        <w:rPr>
          <w:rFonts w:hint="eastAsia" w:ascii="楷体_GB2312" w:hAnsi="楷体_GB2312" w:eastAsia="楷体_GB2312" w:cs="楷体_GB2312"/>
          <w:sz w:val="32"/>
          <w:lang w:val="en-US" w:eastAsia="zh-CN"/>
        </w:rPr>
      </w:pPr>
      <w:r>
        <w:rPr>
          <w:rFonts w:hint="eastAsia" w:ascii="楷体_GB2312" w:hAnsi="楷体_GB2312" w:eastAsia="楷体_GB2312" w:cs="楷体_GB2312"/>
          <w:sz w:val="32"/>
          <w:lang w:val="en-US" w:eastAsia="zh-CN"/>
        </w:rPr>
        <w:t>（五）收益结算公布</w:t>
      </w:r>
    </w:p>
    <w:p w14:paraId="2AF22D8C">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12.有功响应结果</w:t>
      </w:r>
    </w:p>
    <w:tbl>
      <w:tblPr>
        <w:tblStyle w:val="43"/>
        <w:tblW w:w="5008" w:type="pct"/>
        <w:jc w:val="center"/>
        <w:tblLayout w:type="autofit"/>
        <w:tblCellMar>
          <w:top w:w="0" w:type="dxa"/>
          <w:left w:w="0" w:type="dxa"/>
          <w:bottom w:w="0" w:type="dxa"/>
          <w:right w:w="0" w:type="dxa"/>
        </w:tblCellMar>
      </w:tblPr>
      <w:tblGrid>
        <w:gridCol w:w="1661"/>
        <w:gridCol w:w="1663"/>
        <w:gridCol w:w="756"/>
        <w:gridCol w:w="760"/>
        <w:gridCol w:w="4932"/>
      </w:tblGrid>
      <w:tr w14:paraId="062F1A9C">
        <w:trPr>
          <w:trHeight w:val="466" w:hRule="exact"/>
          <w:jc w:val="center"/>
        </w:trPr>
        <w:tc>
          <w:tcPr>
            <w:tcW w:w="850" w:type="pct"/>
            <w:vMerge w:val="restart"/>
            <w:tcBorders>
              <w:top w:val="single" w:color="000000" w:sz="4" w:space="0"/>
              <w:left w:val="single" w:color="000000" w:sz="4" w:space="0"/>
              <w:right w:val="single" w:color="000000" w:sz="4" w:space="0"/>
            </w:tcBorders>
            <w:vAlign w:val="center"/>
          </w:tcPr>
          <w:p w14:paraId="7D2FD73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数据结构</w:t>
            </w:r>
          </w:p>
        </w:tc>
        <w:tc>
          <w:tcPr>
            <w:tcW w:w="851" w:type="pct"/>
            <w:vMerge w:val="restart"/>
            <w:tcBorders>
              <w:top w:val="single" w:color="000000" w:sz="4" w:space="0"/>
              <w:left w:val="single" w:color="000000" w:sz="4" w:space="0"/>
              <w:right w:val="single" w:color="000000" w:sz="4" w:space="0"/>
            </w:tcBorders>
            <w:vAlign w:val="center"/>
          </w:tcPr>
          <w:p w14:paraId="2B8F4E0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776" w:type="pct"/>
            <w:gridSpan w:val="2"/>
            <w:tcBorders>
              <w:top w:val="single" w:color="000000" w:sz="4" w:space="0"/>
              <w:left w:val="single" w:color="000000" w:sz="4" w:space="0"/>
              <w:bottom w:val="single" w:color="000000" w:sz="4" w:space="0"/>
              <w:right w:val="single" w:color="000000" w:sz="4" w:space="0"/>
            </w:tcBorders>
            <w:vAlign w:val="center"/>
          </w:tcPr>
          <w:p w14:paraId="437DB70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20" w:type="pct"/>
            <w:vMerge w:val="restart"/>
            <w:tcBorders>
              <w:top w:val="single" w:color="000000" w:sz="4" w:space="0"/>
              <w:left w:val="single" w:color="000000" w:sz="4" w:space="0"/>
              <w:right w:val="single" w:color="000000" w:sz="4" w:space="0"/>
            </w:tcBorders>
            <w:vAlign w:val="center"/>
          </w:tcPr>
          <w:p w14:paraId="46F43D1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2FD896ED">
        <w:tblPrEx>
          <w:tblCellMar>
            <w:top w:w="0" w:type="dxa"/>
            <w:left w:w="0" w:type="dxa"/>
            <w:bottom w:w="0" w:type="dxa"/>
            <w:right w:w="0" w:type="dxa"/>
          </w:tblCellMar>
        </w:tblPrEx>
        <w:trPr>
          <w:trHeight w:val="606" w:hRule="exact"/>
          <w:jc w:val="center"/>
        </w:trPr>
        <w:tc>
          <w:tcPr>
            <w:tcW w:w="850" w:type="pct"/>
            <w:vMerge w:val="continue"/>
            <w:tcBorders>
              <w:left w:val="single" w:color="000000" w:sz="4" w:space="0"/>
              <w:bottom w:val="single" w:color="000000" w:sz="4" w:space="0"/>
              <w:right w:val="single" w:color="000000" w:sz="4" w:space="0"/>
            </w:tcBorders>
            <w:vAlign w:val="center"/>
          </w:tcPr>
          <w:p w14:paraId="63B2A69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1" w:type="pct"/>
            <w:vMerge w:val="continue"/>
            <w:tcBorders>
              <w:left w:val="single" w:color="000000" w:sz="4" w:space="0"/>
              <w:bottom w:val="single" w:color="000000" w:sz="4" w:space="0"/>
              <w:right w:val="single" w:color="000000" w:sz="4" w:space="0"/>
            </w:tcBorders>
            <w:vAlign w:val="center"/>
          </w:tcPr>
          <w:p w14:paraId="02386BF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39E0101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89" w:type="pct"/>
            <w:tcBorders>
              <w:top w:val="single" w:color="000000" w:sz="4" w:space="0"/>
              <w:left w:val="single" w:color="000000" w:sz="4" w:space="0"/>
              <w:bottom w:val="single" w:color="000000" w:sz="4" w:space="0"/>
              <w:right w:val="single" w:color="000000" w:sz="4" w:space="0"/>
            </w:tcBorders>
            <w:vAlign w:val="center"/>
          </w:tcPr>
          <w:p w14:paraId="48DD5A4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20" w:type="pct"/>
            <w:vMerge w:val="continue"/>
            <w:tcBorders>
              <w:left w:val="single" w:color="000000" w:sz="4" w:space="0"/>
              <w:right w:val="single" w:color="000000" w:sz="4" w:space="0"/>
            </w:tcBorders>
            <w:vAlign w:val="center"/>
          </w:tcPr>
          <w:p w14:paraId="2AD45FC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1A309637">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3203F95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51" w:type="pct"/>
            <w:tcBorders>
              <w:top w:val="single" w:color="000000" w:sz="4" w:space="0"/>
              <w:left w:val="single" w:color="000000" w:sz="4" w:space="0"/>
              <w:bottom w:val="single" w:color="000000" w:sz="4" w:space="0"/>
              <w:right w:val="single" w:color="000000" w:sz="4" w:space="0"/>
            </w:tcBorders>
            <w:vAlign w:val="center"/>
          </w:tcPr>
          <w:p w14:paraId="213238D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3A6C56F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vAlign w:val="center"/>
          </w:tcPr>
          <w:p w14:paraId="65EC734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56E00E1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结算日期（5个字节）</w:t>
            </w:r>
          </w:p>
        </w:tc>
      </w:tr>
      <w:tr w14:paraId="0F49C224">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675B764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1" w:type="pct"/>
            <w:tcBorders>
              <w:top w:val="single" w:color="000000" w:sz="4" w:space="0"/>
              <w:left w:val="single" w:color="000000" w:sz="4" w:space="0"/>
              <w:bottom w:val="single" w:color="000000" w:sz="4" w:space="0"/>
              <w:right w:val="single" w:color="000000" w:sz="4" w:space="0"/>
            </w:tcBorders>
            <w:vAlign w:val="center"/>
          </w:tcPr>
          <w:p w14:paraId="6F60739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2CAE147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vAlign w:val="center"/>
          </w:tcPr>
          <w:p w14:paraId="5B4BE26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073DE37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需求计划编号（32个字节ASCII）</w:t>
            </w:r>
          </w:p>
        </w:tc>
      </w:tr>
      <w:tr w14:paraId="02C745F0">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050E594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1" w:type="pct"/>
            <w:tcBorders>
              <w:top w:val="single" w:color="000000" w:sz="4" w:space="0"/>
              <w:left w:val="single" w:color="000000" w:sz="4" w:space="0"/>
              <w:bottom w:val="single" w:color="000000" w:sz="4" w:space="0"/>
              <w:right w:val="single" w:color="000000" w:sz="4" w:space="0"/>
            </w:tcBorders>
            <w:vAlign w:val="center"/>
          </w:tcPr>
          <w:p w14:paraId="3495240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62A9135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vAlign w:val="center"/>
          </w:tcPr>
          <w:p w14:paraId="525F7C4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05ECC3D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价格系数（1：日前0.8；2：日内就乘以系数1.5）</w:t>
            </w:r>
          </w:p>
        </w:tc>
      </w:tr>
      <w:tr w14:paraId="68F07DD2">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030F6BA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1" w:type="pct"/>
            <w:tcBorders>
              <w:top w:val="single" w:color="000000" w:sz="4" w:space="0"/>
              <w:left w:val="single" w:color="000000" w:sz="4" w:space="0"/>
              <w:bottom w:val="single" w:color="000000" w:sz="4" w:space="0"/>
              <w:right w:val="single" w:color="000000" w:sz="4" w:space="0"/>
            </w:tcBorders>
            <w:vAlign w:val="center"/>
          </w:tcPr>
          <w:p w14:paraId="0F2A3A3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636139C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027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7000BB9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49BE7141">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459C007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vAlign w:val="center"/>
          </w:tcPr>
          <w:p w14:paraId="2FB6053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kWh</w:t>
            </w:r>
          </w:p>
        </w:tc>
        <w:tc>
          <w:tcPr>
            <w:tcW w:w="387" w:type="pct"/>
            <w:tcBorders>
              <w:top w:val="single" w:color="000000" w:sz="4" w:space="0"/>
              <w:left w:val="single" w:color="000000" w:sz="4" w:space="0"/>
              <w:bottom w:val="single" w:color="000000" w:sz="4" w:space="0"/>
              <w:right w:val="single" w:color="000000" w:sz="4" w:space="0"/>
            </w:tcBorders>
            <w:vAlign w:val="center"/>
          </w:tcPr>
          <w:p w14:paraId="5A47CA0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2130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5786B24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运营商总结算电量（4个字节）</w:t>
            </w:r>
          </w:p>
        </w:tc>
      </w:tr>
      <w:tr w14:paraId="3E45171A">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1CEF680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vAlign w:val="center"/>
          </w:tcPr>
          <w:p w14:paraId="3D7A829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元/kWh</w:t>
            </w:r>
          </w:p>
        </w:tc>
        <w:tc>
          <w:tcPr>
            <w:tcW w:w="387" w:type="pct"/>
            <w:tcBorders>
              <w:top w:val="single" w:color="000000" w:sz="4" w:space="0"/>
              <w:left w:val="single" w:color="000000" w:sz="4" w:space="0"/>
              <w:bottom w:val="single" w:color="000000" w:sz="4" w:space="0"/>
              <w:right w:val="single" w:color="000000" w:sz="4" w:space="0"/>
            </w:tcBorders>
            <w:vAlign w:val="center"/>
          </w:tcPr>
          <w:p w14:paraId="11142A8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C0BA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7873ED7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运营商结算价格（4个字节）</w:t>
            </w:r>
          </w:p>
        </w:tc>
      </w:tr>
      <w:tr w14:paraId="45492BF9">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3581A01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vAlign w:val="center"/>
          </w:tcPr>
          <w:p w14:paraId="567D373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w:t>
            </w:r>
          </w:p>
        </w:tc>
        <w:tc>
          <w:tcPr>
            <w:tcW w:w="387" w:type="pct"/>
            <w:tcBorders>
              <w:top w:val="single" w:color="000000" w:sz="4" w:space="0"/>
              <w:left w:val="single" w:color="000000" w:sz="4" w:space="0"/>
              <w:bottom w:val="single" w:color="000000" w:sz="4" w:space="0"/>
              <w:right w:val="single" w:color="000000" w:sz="4" w:space="0"/>
            </w:tcBorders>
            <w:vAlign w:val="center"/>
          </w:tcPr>
          <w:p w14:paraId="552514B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F46E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545DB8A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运营商总结算费用（4个字节）</w:t>
            </w:r>
          </w:p>
        </w:tc>
      </w:tr>
      <w:tr w14:paraId="1CD7F05E">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2F5A70E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w:t>
            </w:r>
          </w:p>
        </w:tc>
        <w:tc>
          <w:tcPr>
            <w:tcW w:w="851" w:type="pct"/>
            <w:tcBorders>
              <w:top w:val="single" w:color="000000" w:sz="4" w:space="0"/>
              <w:left w:val="single" w:color="000000" w:sz="4" w:space="0"/>
              <w:bottom w:val="single" w:color="000000" w:sz="4" w:space="0"/>
              <w:right w:val="single" w:color="000000" w:sz="4" w:space="0"/>
            </w:tcBorders>
            <w:vAlign w:val="center"/>
          </w:tcPr>
          <w:p w14:paraId="01F6AD2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02E1F0A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B57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5BBA987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时间（2个字节）</w:t>
            </w:r>
          </w:p>
          <w:p w14:paraId="0274B97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示例</w:t>
            </w:r>
          </w:p>
          <w:p w14:paraId="06AF8A0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 区间基线值,</w:t>
            </w:r>
          </w:p>
        </w:tc>
      </w:tr>
      <w:tr w14:paraId="65078694">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263FB2F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vAlign w:val="center"/>
          </w:tcPr>
          <w:p w14:paraId="71450CD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387" w:type="pct"/>
            <w:tcBorders>
              <w:top w:val="single" w:color="000000" w:sz="4" w:space="0"/>
              <w:left w:val="single" w:color="000000" w:sz="4" w:space="0"/>
              <w:bottom w:val="single" w:color="000000" w:sz="4" w:space="0"/>
              <w:right w:val="single" w:color="000000" w:sz="4" w:space="0"/>
            </w:tcBorders>
            <w:vAlign w:val="center"/>
          </w:tcPr>
          <w:p w14:paraId="46546E8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7BA0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3EC6759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运营商基线数据（4个字节）</w:t>
            </w:r>
          </w:p>
        </w:tc>
      </w:tr>
      <w:tr w14:paraId="4DFAFDC5">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7B0AC90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vAlign w:val="center"/>
          </w:tcPr>
          <w:p w14:paraId="49F8E53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387" w:type="pct"/>
            <w:tcBorders>
              <w:top w:val="single" w:color="000000" w:sz="4" w:space="0"/>
              <w:left w:val="single" w:color="000000" w:sz="4" w:space="0"/>
              <w:bottom w:val="single" w:color="000000" w:sz="4" w:space="0"/>
              <w:right w:val="single" w:color="000000" w:sz="4" w:space="0"/>
            </w:tcBorders>
            <w:vAlign w:val="center"/>
          </w:tcPr>
          <w:p w14:paraId="46D2530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B404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09CBCE6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运营商实际功率（4个字节）</w:t>
            </w:r>
          </w:p>
        </w:tc>
      </w:tr>
      <w:tr w14:paraId="449D3358">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vAlign w:val="center"/>
          </w:tcPr>
          <w:p w14:paraId="0B28557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vAlign w:val="center"/>
          </w:tcPr>
          <w:p w14:paraId="3979A94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kW/kVar</w:t>
            </w:r>
          </w:p>
        </w:tc>
        <w:tc>
          <w:tcPr>
            <w:tcW w:w="387" w:type="pct"/>
            <w:tcBorders>
              <w:top w:val="single" w:color="000000" w:sz="4" w:space="0"/>
              <w:left w:val="single" w:color="000000" w:sz="4" w:space="0"/>
              <w:bottom w:val="single" w:color="000000" w:sz="4" w:space="0"/>
              <w:right w:val="single" w:color="000000" w:sz="4" w:space="0"/>
            </w:tcBorders>
            <w:vAlign w:val="center"/>
          </w:tcPr>
          <w:p w14:paraId="6909F0B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1496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39F0FB1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运营商调节功率（4个字节）</w:t>
            </w:r>
          </w:p>
        </w:tc>
      </w:tr>
      <w:tr w14:paraId="21943EAF">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77A4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06A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15A5DA5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AC81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4D2162D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运营商价格响应系数（4个字节）</w:t>
            </w:r>
          </w:p>
        </w:tc>
      </w:tr>
      <w:tr w14:paraId="1E8F39AB">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87CB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858C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kWh</w:t>
            </w:r>
          </w:p>
        </w:tc>
        <w:tc>
          <w:tcPr>
            <w:tcW w:w="387" w:type="pct"/>
            <w:tcBorders>
              <w:top w:val="single" w:color="000000" w:sz="4" w:space="0"/>
              <w:left w:val="single" w:color="000000" w:sz="4" w:space="0"/>
              <w:bottom w:val="single" w:color="000000" w:sz="4" w:space="0"/>
              <w:right w:val="single" w:color="000000" w:sz="4" w:space="0"/>
            </w:tcBorders>
            <w:vAlign w:val="center"/>
          </w:tcPr>
          <w:p w14:paraId="46845C1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B8B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54A7AAC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运营商结算电量（4个字节）</w:t>
            </w:r>
          </w:p>
        </w:tc>
      </w:tr>
      <w:tr w14:paraId="46826EB8">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591A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D36C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元/kWh</w:t>
            </w:r>
          </w:p>
        </w:tc>
        <w:tc>
          <w:tcPr>
            <w:tcW w:w="387" w:type="pct"/>
            <w:tcBorders>
              <w:top w:val="single" w:color="000000" w:sz="4" w:space="0"/>
              <w:left w:val="single" w:color="000000" w:sz="4" w:space="0"/>
              <w:bottom w:val="single" w:color="000000" w:sz="4" w:space="0"/>
              <w:right w:val="single" w:color="000000" w:sz="4" w:space="0"/>
            </w:tcBorders>
            <w:vAlign w:val="center"/>
          </w:tcPr>
          <w:p w14:paraId="710F8C8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260D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46E6BE5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运营商结算价格（4个字节）</w:t>
            </w:r>
          </w:p>
        </w:tc>
      </w:tr>
      <w:tr w14:paraId="21C13AF9">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4EA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83A9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w:t>
            </w:r>
          </w:p>
        </w:tc>
        <w:tc>
          <w:tcPr>
            <w:tcW w:w="387" w:type="pct"/>
            <w:tcBorders>
              <w:top w:val="single" w:color="000000" w:sz="4" w:space="0"/>
              <w:left w:val="single" w:color="000000" w:sz="4" w:space="0"/>
              <w:bottom w:val="single" w:color="000000" w:sz="4" w:space="0"/>
              <w:right w:val="single" w:color="000000" w:sz="4" w:space="0"/>
            </w:tcBorders>
            <w:vAlign w:val="center"/>
          </w:tcPr>
          <w:p w14:paraId="5627251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540E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tcPr>
          <w:p w14:paraId="3AC8331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运营商结算费用（4个字节）</w:t>
            </w:r>
          </w:p>
        </w:tc>
      </w:tr>
      <w:tr w14:paraId="23552EE6">
        <w:tblPrEx>
          <w:tblCellMar>
            <w:top w:w="0" w:type="dxa"/>
            <w:left w:w="0" w:type="dxa"/>
            <w:bottom w:w="0" w:type="dxa"/>
            <w:right w:w="0" w:type="dxa"/>
          </w:tblCellMar>
        </w:tblPrEx>
        <w:trPr>
          <w:trHeight w:val="36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8D177C">
            <w:pPr>
              <w:kinsoku w:val="0"/>
              <w:autoSpaceDE w:val="0"/>
              <w:autoSpaceDN w:val="0"/>
              <w:adjustRightInd w:val="0"/>
              <w:snapToGrid w:val="0"/>
              <w:spacing w:before="103" w:line="218" w:lineRule="auto"/>
              <w:ind w:left="75"/>
              <w:jc w:val="center"/>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b/>
                <w:bCs/>
                <w:snapToGrid w:val="0"/>
                <w:spacing w:val="-2"/>
                <w:kern w:val="0"/>
                <w:sz w:val="18"/>
                <w:szCs w:val="18"/>
                <w:lang w:bidi="ar"/>
              </w:rPr>
              <w:t>用户结算清单</w:t>
            </w:r>
          </w:p>
        </w:tc>
      </w:tr>
      <w:tr w14:paraId="66A3D511">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A456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C2EB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0A0102F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97FA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3ECB693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结算日期</w:t>
            </w:r>
          </w:p>
        </w:tc>
      </w:tr>
      <w:tr w14:paraId="32949C78">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A180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CB0D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5DB5C52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C62E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0A5EDAF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需求计划编号</w:t>
            </w:r>
          </w:p>
        </w:tc>
      </w:tr>
      <w:tr w14:paraId="2E0C2A19">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C347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315F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1C4B68A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18B9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632B766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运营商编号</w:t>
            </w:r>
          </w:p>
        </w:tc>
      </w:tr>
      <w:tr w14:paraId="681A20EF">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4FEA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4A44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7" w:type="pct"/>
            <w:tcBorders>
              <w:top w:val="single" w:color="000000" w:sz="4" w:space="0"/>
              <w:left w:val="single" w:color="000000" w:sz="4" w:space="0"/>
              <w:bottom w:val="single" w:color="000000" w:sz="4" w:space="0"/>
              <w:right w:val="single" w:color="000000" w:sz="4" w:space="0"/>
            </w:tcBorders>
            <w:vAlign w:val="center"/>
          </w:tcPr>
          <w:p w14:paraId="13AB328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A566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4C5D364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-用户编号</w:t>
            </w:r>
          </w:p>
        </w:tc>
      </w:tr>
      <w:tr w14:paraId="3B322623">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6B87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D350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kW/kVar</w:t>
            </w:r>
          </w:p>
        </w:tc>
        <w:tc>
          <w:tcPr>
            <w:tcW w:w="387" w:type="pct"/>
            <w:tcBorders>
              <w:top w:val="single" w:color="000000" w:sz="4" w:space="0"/>
              <w:left w:val="single" w:color="000000" w:sz="4" w:space="0"/>
              <w:bottom w:val="single" w:color="000000" w:sz="4" w:space="0"/>
              <w:right w:val="single" w:color="000000" w:sz="4" w:space="0"/>
            </w:tcBorders>
            <w:vAlign w:val="center"/>
          </w:tcPr>
          <w:p w14:paraId="32D264B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0B1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62C0D01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-用户基线（调节时段内）</w:t>
            </w:r>
          </w:p>
          <w:p w14:paraId="37F3A6A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区间基线值,</w:t>
            </w:r>
          </w:p>
          <w:p w14:paraId="3545F8A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区间基线值,</w:t>
            </w:r>
          </w:p>
          <w:p w14:paraId="48500DE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r>
      <w:tr w14:paraId="412698D6">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DFA6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837A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kW/kVar</w:t>
            </w:r>
          </w:p>
        </w:tc>
        <w:tc>
          <w:tcPr>
            <w:tcW w:w="387" w:type="pct"/>
            <w:tcBorders>
              <w:top w:val="single" w:color="000000" w:sz="4" w:space="0"/>
              <w:left w:val="single" w:color="000000" w:sz="4" w:space="0"/>
              <w:bottom w:val="single" w:color="000000" w:sz="4" w:space="0"/>
              <w:right w:val="single" w:color="000000" w:sz="4" w:space="0"/>
            </w:tcBorders>
            <w:vAlign w:val="center"/>
          </w:tcPr>
          <w:p w14:paraId="5A10456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346C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22CF54C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-实际负荷（调节时段内）</w:t>
            </w:r>
          </w:p>
          <w:p w14:paraId="667787B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区间运行的实际功率值,</w:t>
            </w:r>
          </w:p>
          <w:p w14:paraId="7398638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区间运行的实际功率值,</w:t>
            </w:r>
          </w:p>
          <w:p w14:paraId="6212E76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r>
      <w:tr w14:paraId="4DDC57DF">
        <w:tblPrEx>
          <w:tblCellMar>
            <w:top w:w="0" w:type="dxa"/>
            <w:left w:w="0" w:type="dxa"/>
            <w:bottom w:w="0" w:type="dxa"/>
            <w:right w:w="0" w:type="dxa"/>
          </w:tblCellMar>
        </w:tblPrEx>
        <w:trPr>
          <w:trHeight w:val="363" w:hRule="atLeast"/>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21D0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1262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kW/kVar</w:t>
            </w:r>
          </w:p>
        </w:tc>
        <w:tc>
          <w:tcPr>
            <w:tcW w:w="387" w:type="pct"/>
            <w:tcBorders>
              <w:top w:val="single" w:color="000000" w:sz="4" w:space="0"/>
              <w:left w:val="single" w:color="000000" w:sz="4" w:space="0"/>
              <w:bottom w:val="single" w:color="000000" w:sz="4" w:space="0"/>
              <w:right w:val="single" w:color="000000" w:sz="4" w:space="0"/>
            </w:tcBorders>
            <w:vAlign w:val="center"/>
          </w:tcPr>
          <w:p w14:paraId="05DEF3D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36E3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03419DF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-调节功率（调节时段内）</w:t>
            </w:r>
          </w:p>
          <w:p w14:paraId="5ABA443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区间运行的调节功率值,</w:t>
            </w:r>
          </w:p>
          <w:p w14:paraId="269E78A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区间运行的调节功率值,</w:t>
            </w:r>
          </w:p>
          <w:p w14:paraId="35B5405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val="en-US" w:eastAsia="zh-CN" w:bidi="ar"/>
              </w:rPr>
            </w:pPr>
            <w:r>
              <w:rPr>
                <w:rFonts w:hint="eastAsia" w:ascii="仿宋_GB2312" w:hAnsi="仿宋_GB2312" w:eastAsia="仿宋_GB2312" w:cs="仿宋_GB2312"/>
                <w:snapToGrid w:val="0"/>
                <w:spacing w:val="-2"/>
                <w:kern w:val="0"/>
                <w:sz w:val="18"/>
                <w:szCs w:val="18"/>
                <w:lang w:bidi="ar"/>
              </w:rPr>
              <w:t>……</w:t>
            </w:r>
          </w:p>
        </w:tc>
      </w:tr>
    </w:tbl>
    <w:p w14:paraId="6A752A6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p w14:paraId="01676259">
      <w:pPr>
        <w:widowControl/>
        <w:numPr>
          <w:ilvl w:val="255"/>
          <w:numId w:val="0"/>
        </w:numPr>
        <w:tabs>
          <w:tab w:val="left" w:pos="0"/>
        </w:tabs>
        <w:adjustRightInd w:val="0"/>
        <w:snapToGrid w:val="0"/>
        <w:spacing w:line="560" w:lineRule="exact"/>
        <w:ind w:left="420" w:leftChars="200"/>
        <w:jc w:val="left"/>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13.备用服务结果</w:t>
      </w:r>
    </w:p>
    <w:tbl>
      <w:tblPr>
        <w:tblStyle w:val="43"/>
        <w:tblW w:w="5027" w:type="pct"/>
        <w:jc w:val="center"/>
        <w:tblLayout w:type="autofit"/>
        <w:tblCellMar>
          <w:top w:w="0" w:type="dxa"/>
          <w:left w:w="0" w:type="dxa"/>
          <w:bottom w:w="0" w:type="dxa"/>
          <w:right w:w="0" w:type="dxa"/>
        </w:tblCellMar>
      </w:tblPr>
      <w:tblGrid>
        <w:gridCol w:w="1666"/>
        <w:gridCol w:w="1683"/>
        <w:gridCol w:w="747"/>
        <w:gridCol w:w="757"/>
        <w:gridCol w:w="4956"/>
      </w:tblGrid>
      <w:tr w14:paraId="1748D0A8">
        <w:tblPrEx>
          <w:tblCellMar>
            <w:top w:w="0" w:type="dxa"/>
            <w:left w:w="0" w:type="dxa"/>
            <w:bottom w:w="0" w:type="dxa"/>
            <w:right w:w="0" w:type="dxa"/>
          </w:tblCellMar>
        </w:tblPrEx>
        <w:trPr>
          <w:trHeight w:val="466" w:hRule="exact"/>
          <w:jc w:val="center"/>
        </w:trPr>
        <w:tc>
          <w:tcPr>
            <w:tcW w:w="849" w:type="pct"/>
            <w:vMerge w:val="restart"/>
            <w:tcBorders>
              <w:top w:val="single" w:color="000000" w:sz="4" w:space="0"/>
              <w:left w:val="single" w:color="000000" w:sz="4" w:space="0"/>
              <w:right w:val="single" w:color="000000" w:sz="4" w:space="0"/>
            </w:tcBorders>
            <w:vAlign w:val="center"/>
          </w:tcPr>
          <w:p w14:paraId="0E3DDB2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数据结构</w:t>
            </w:r>
          </w:p>
        </w:tc>
        <w:tc>
          <w:tcPr>
            <w:tcW w:w="858" w:type="pct"/>
            <w:vMerge w:val="restart"/>
            <w:tcBorders>
              <w:top w:val="single" w:color="000000" w:sz="4" w:space="0"/>
              <w:left w:val="single" w:color="000000" w:sz="4" w:space="0"/>
              <w:right w:val="single" w:color="000000" w:sz="4" w:space="0"/>
            </w:tcBorders>
            <w:vAlign w:val="center"/>
          </w:tcPr>
          <w:p w14:paraId="2EF2BFC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单位</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52E16E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功能</w:t>
            </w:r>
          </w:p>
        </w:tc>
        <w:tc>
          <w:tcPr>
            <w:tcW w:w="2524" w:type="pct"/>
            <w:vMerge w:val="restart"/>
            <w:tcBorders>
              <w:top w:val="single" w:color="000000" w:sz="4" w:space="0"/>
              <w:left w:val="single" w:color="000000" w:sz="4" w:space="0"/>
              <w:right w:val="single" w:color="000000" w:sz="4" w:space="0"/>
            </w:tcBorders>
            <w:vAlign w:val="center"/>
          </w:tcPr>
          <w:p w14:paraId="7AEBD82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p w14:paraId="13E0BB6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数据项名称</w:t>
            </w:r>
          </w:p>
        </w:tc>
      </w:tr>
      <w:tr w14:paraId="7038C940">
        <w:tblPrEx>
          <w:tblCellMar>
            <w:top w:w="0" w:type="dxa"/>
            <w:left w:w="0" w:type="dxa"/>
            <w:bottom w:w="0" w:type="dxa"/>
            <w:right w:w="0" w:type="dxa"/>
          </w:tblCellMar>
        </w:tblPrEx>
        <w:trPr>
          <w:trHeight w:val="606" w:hRule="exact"/>
          <w:jc w:val="center"/>
        </w:trPr>
        <w:tc>
          <w:tcPr>
            <w:tcW w:w="849" w:type="pct"/>
            <w:vMerge w:val="continue"/>
            <w:tcBorders>
              <w:left w:val="single" w:color="000000" w:sz="4" w:space="0"/>
              <w:bottom w:val="single" w:color="000000" w:sz="4" w:space="0"/>
              <w:right w:val="single" w:color="000000" w:sz="4" w:space="0"/>
            </w:tcBorders>
            <w:vAlign w:val="center"/>
          </w:tcPr>
          <w:p w14:paraId="3331C21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858" w:type="pct"/>
            <w:vMerge w:val="continue"/>
            <w:tcBorders>
              <w:left w:val="single" w:color="000000" w:sz="4" w:space="0"/>
              <w:bottom w:val="single" w:color="000000" w:sz="4" w:space="0"/>
              <w:right w:val="single" w:color="000000" w:sz="4" w:space="0"/>
            </w:tcBorders>
            <w:vAlign w:val="center"/>
          </w:tcPr>
          <w:p w14:paraId="622E924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06D95BE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读</w:t>
            </w:r>
          </w:p>
        </w:tc>
        <w:tc>
          <w:tcPr>
            <w:tcW w:w="386" w:type="pct"/>
            <w:tcBorders>
              <w:top w:val="single" w:color="000000" w:sz="4" w:space="0"/>
              <w:left w:val="single" w:color="000000" w:sz="4" w:space="0"/>
              <w:bottom w:val="single" w:color="000000" w:sz="4" w:space="0"/>
              <w:right w:val="single" w:color="000000" w:sz="4" w:space="0"/>
            </w:tcBorders>
            <w:vAlign w:val="center"/>
          </w:tcPr>
          <w:p w14:paraId="4523946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写</w:t>
            </w:r>
          </w:p>
        </w:tc>
        <w:tc>
          <w:tcPr>
            <w:tcW w:w="2524" w:type="pct"/>
            <w:vMerge w:val="continue"/>
            <w:tcBorders>
              <w:left w:val="single" w:color="000000" w:sz="4" w:space="0"/>
              <w:bottom w:val="single" w:color="000000" w:sz="4" w:space="0"/>
              <w:right w:val="single" w:color="000000" w:sz="4" w:space="0"/>
            </w:tcBorders>
            <w:vAlign w:val="center"/>
          </w:tcPr>
          <w:p w14:paraId="4BCB02C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r>
      <w:tr w14:paraId="391EA094">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611AD75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8" w:type="pct"/>
            <w:tcBorders>
              <w:top w:val="single" w:color="000000" w:sz="4" w:space="0"/>
              <w:left w:val="single" w:color="000000" w:sz="4" w:space="0"/>
              <w:bottom w:val="single" w:color="000000" w:sz="4" w:space="0"/>
              <w:right w:val="single" w:color="000000" w:sz="4" w:space="0"/>
            </w:tcBorders>
            <w:vAlign w:val="center"/>
          </w:tcPr>
          <w:p w14:paraId="0076572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038202E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vAlign w:val="center"/>
          </w:tcPr>
          <w:p w14:paraId="512A6A5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1C92C4E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需求计划编号（16个字节ASCII）</w:t>
            </w:r>
          </w:p>
        </w:tc>
      </w:tr>
      <w:tr w14:paraId="6B060B78">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4775C03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8" w:type="pct"/>
            <w:tcBorders>
              <w:top w:val="single" w:color="000000" w:sz="4" w:space="0"/>
              <w:left w:val="single" w:color="000000" w:sz="4" w:space="0"/>
              <w:bottom w:val="single" w:color="000000" w:sz="4" w:space="0"/>
              <w:right w:val="single" w:color="000000" w:sz="4" w:space="0"/>
            </w:tcBorders>
            <w:vAlign w:val="center"/>
          </w:tcPr>
          <w:p w14:paraId="6C789AB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603E57C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vAlign w:val="center"/>
          </w:tcPr>
          <w:p w14:paraId="2B6B0D0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689347D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参与市场类型（4:备用）</w:t>
            </w:r>
          </w:p>
        </w:tc>
      </w:tr>
      <w:tr w14:paraId="21FEDB27">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48BAC9F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w:t>
            </w:r>
          </w:p>
        </w:tc>
        <w:tc>
          <w:tcPr>
            <w:tcW w:w="858" w:type="pct"/>
            <w:tcBorders>
              <w:top w:val="single" w:color="000000" w:sz="4" w:space="0"/>
              <w:left w:val="single" w:color="000000" w:sz="4" w:space="0"/>
              <w:bottom w:val="single" w:color="000000" w:sz="4" w:space="0"/>
              <w:right w:val="single" w:color="000000" w:sz="4" w:space="0"/>
            </w:tcBorders>
            <w:vAlign w:val="center"/>
          </w:tcPr>
          <w:p w14:paraId="6F8DF33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1BA9707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vAlign w:val="center"/>
          </w:tcPr>
          <w:p w14:paraId="478B513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1529F7A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价格系数（3：实时需求响应3）</w:t>
            </w:r>
          </w:p>
        </w:tc>
      </w:tr>
      <w:tr w14:paraId="408D8B31">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3F54351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w:t>
            </w:r>
          </w:p>
        </w:tc>
        <w:tc>
          <w:tcPr>
            <w:tcW w:w="858" w:type="pct"/>
            <w:tcBorders>
              <w:top w:val="single" w:color="000000" w:sz="4" w:space="0"/>
              <w:left w:val="single" w:color="000000" w:sz="4" w:space="0"/>
              <w:bottom w:val="single" w:color="000000" w:sz="4" w:space="0"/>
              <w:right w:val="single" w:color="000000" w:sz="4" w:space="0"/>
            </w:tcBorders>
            <w:vAlign w:val="center"/>
          </w:tcPr>
          <w:p w14:paraId="01C8039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6D5E01C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C58B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075CB7A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运营商编号（16个字节ASCII）</w:t>
            </w:r>
          </w:p>
        </w:tc>
      </w:tr>
      <w:tr w14:paraId="1721C0DA">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4C5B971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8" w:type="pct"/>
            <w:tcBorders>
              <w:top w:val="single" w:color="000000" w:sz="4" w:space="0"/>
              <w:left w:val="single" w:color="000000" w:sz="4" w:space="0"/>
              <w:bottom w:val="single" w:color="000000" w:sz="4" w:space="0"/>
              <w:right w:val="single" w:color="000000" w:sz="4" w:space="0"/>
            </w:tcBorders>
            <w:vAlign w:val="center"/>
          </w:tcPr>
          <w:p w14:paraId="2554C9D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w:t>
            </w:r>
          </w:p>
        </w:tc>
        <w:tc>
          <w:tcPr>
            <w:tcW w:w="381" w:type="pct"/>
            <w:tcBorders>
              <w:top w:val="single" w:color="000000" w:sz="4" w:space="0"/>
              <w:left w:val="single" w:color="000000" w:sz="4" w:space="0"/>
              <w:bottom w:val="single" w:color="000000" w:sz="4" w:space="0"/>
              <w:right w:val="single" w:color="000000" w:sz="4" w:space="0"/>
            </w:tcBorders>
            <w:vAlign w:val="center"/>
          </w:tcPr>
          <w:p w14:paraId="3AE85AA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8D1A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21654C7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运营商总结算费用（4个字节）</w:t>
            </w:r>
          </w:p>
        </w:tc>
      </w:tr>
      <w:tr w14:paraId="5D7F8180">
        <w:tblPrEx>
          <w:tblCellMar>
            <w:top w:w="0" w:type="dxa"/>
            <w:left w:w="0" w:type="dxa"/>
            <w:bottom w:w="0" w:type="dxa"/>
            <w:right w:w="0" w:type="dxa"/>
          </w:tblCellMar>
        </w:tblPrEx>
        <w:trPr>
          <w:trHeight w:val="346"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49B6EA4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8" w:type="pct"/>
            <w:tcBorders>
              <w:top w:val="single" w:color="000000" w:sz="4" w:space="0"/>
              <w:left w:val="single" w:color="000000" w:sz="4" w:space="0"/>
              <w:bottom w:val="single" w:color="000000" w:sz="4" w:space="0"/>
              <w:right w:val="single" w:color="000000" w:sz="4" w:space="0"/>
            </w:tcBorders>
            <w:vAlign w:val="center"/>
          </w:tcPr>
          <w:p w14:paraId="05683F5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w:t>
            </w:r>
          </w:p>
        </w:tc>
        <w:tc>
          <w:tcPr>
            <w:tcW w:w="381" w:type="pct"/>
            <w:tcBorders>
              <w:top w:val="single" w:color="000000" w:sz="4" w:space="0"/>
              <w:left w:val="single" w:color="000000" w:sz="4" w:space="0"/>
              <w:bottom w:val="single" w:color="000000" w:sz="4" w:space="0"/>
              <w:right w:val="single" w:color="000000" w:sz="4" w:space="0"/>
            </w:tcBorders>
            <w:vAlign w:val="center"/>
          </w:tcPr>
          <w:p w14:paraId="224B18D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E8E8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7FDA29C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运营商容量补贴费用（4个字节）</w:t>
            </w:r>
          </w:p>
        </w:tc>
      </w:tr>
      <w:tr w14:paraId="063CFAE4">
        <w:tblPrEx>
          <w:tblCellMar>
            <w:top w:w="0" w:type="dxa"/>
            <w:left w:w="0" w:type="dxa"/>
            <w:bottom w:w="0" w:type="dxa"/>
            <w:right w:w="0" w:type="dxa"/>
          </w:tblCellMar>
        </w:tblPrEx>
        <w:trPr>
          <w:trHeight w:val="36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vAlign w:val="center"/>
          </w:tcPr>
          <w:p w14:paraId="0988BD7F">
            <w:pPr>
              <w:kinsoku w:val="0"/>
              <w:autoSpaceDE w:val="0"/>
              <w:autoSpaceDN w:val="0"/>
              <w:adjustRightInd w:val="0"/>
              <w:snapToGrid w:val="0"/>
              <w:spacing w:before="103" w:line="218" w:lineRule="auto"/>
              <w:ind w:left="75"/>
              <w:jc w:val="center"/>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b/>
                <w:bCs/>
                <w:snapToGrid w:val="0"/>
                <w:spacing w:val="-2"/>
                <w:kern w:val="0"/>
                <w:sz w:val="18"/>
                <w:szCs w:val="18"/>
                <w:lang w:bidi="ar"/>
              </w:rPr>
              <w:t>容量补贴费用清单</w:t>
            </w:r>
          </w:p>
        </w:tc>
      </w:tr>
      <w:tr w14:paraId="4FD61A1E">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7DE6D47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YYMMDDhhmm</w:t>
            </w:r>
          </w:p>
        </w:tc>
        <w:tc>
          <w:tcPr>
            <w:tcW w:w="858" w:type="pct"/>
            <w:tcBorders>
              <w:top w:val="single" w:color="000000" w:sz="4" w:space="0"/>
              <w:left w:val="single" w:color="000000" w:sz="4" w:space="0"/>
              <w:bottom w:val="single" w:color="000000" w:sz="4" w:space="0"/>
              <w:right w:val="single" w:color="000000" w:sz="4" w:space="0"/>
            </w:tcBorders>
            <w:vAlign w:val="center"/>
          </w:tcPr>
          <w:p w14:paraId="65E2D5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0D6D6EE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2E7D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104CB402">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-备用日期(5个字节)</w:t>
            </w:r>
          </w:p>
        </w:tc>
      </w:tr>
      <w:tr w14:paraId="044F92DB">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6805D72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8" w:type="pct"/>
            <w:tcBorders>
              <w:top w:val="single" w:color="000000" w:sz="4" w:space="0"/>
              <w:left w:val="single" w:color="000000" w:sz="4" w:space="0"/>
              <w:bottom w:val="single" w:color="000000" w:sz="4" w:space="0"/>
              <w:right w:val="single" w:color="000000" w:sz="4" w:space="0"/>
            </w:tcBorders>
            <w:vAlign w:val="center"/>
          </w:tcPr>
          <w:p w14:paraId="12D7A75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2CDF2A7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A070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3E730BE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-容量补贴费用（4个字节）</w:t>
            </w:r>
          </w:p>
        </w:tc>
      </w:tr>
      <w:tr w14:paraId="7627D11F">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0746E59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5284117B">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4F348C1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8" w:type="pct"/>
            <w:tcBorders>
              <w:top w:val="single" w:color="000000" w:sz="4" w:space="0"/>
              <w:left w:val="single" w:color="000000" w:sz="4" w:space="0"/>
              <w:bottom w:val="single" w:color="000000" w:sz="4" w:space="0"/>
              <w:right w:val="single" w:color="000000" w:sz="4" w:space="0"/>
            </w:tcBorders>
            <w:vAlign w:val="center"/>
          </w:tcPr>
          <w:p w14:paraId="770FDE8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kW</w:t>
            </w:r>
          </w:p>
        </w:tc>
        <w:tc>
          <w:tcPr>
            <w:tcW w:w="381" w:type="pct"/>
            <w:tcBorders>
              <w:top w:val="single" w:color="000000" w:sz="4" w:space="0"/>
              <w:left w:val="single" w:color="000000" w:sz="4" w:space="0"/>
              <w:bottom w:val="single" w:color="000000" w:sz="4" w:space="0"/>
              <w:right w:val="single" w:color="000000" w:sz="4" w:space="0"/>
            </w:tcBorders>
            <w:vAlign w:val="center"/>
          </w:tcPr>
          <w:p w14:paraId="28345F93">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DA3A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3DDDFFE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-备用时段备用容量（96点全时段）(96*4字节)</w:t>
            </w:r>
          </w:p>
          <w:p w14:paraId="2A0ABA0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区间备用容量,</w:t>
            </w:r>
          </w:p>
          <w:p w14:paraId="79DA4E8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区间备用容量,</w:t>
            </w:r>
          </w:p>
          <w:p w14:paraId="6255DF76">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4AD99EF3">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3C527CC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142F8D8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48648E4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8" w:type="pct"/>
            <w:tcBorders>
              <w:top w:val="single" w:color="000000" w:sz="4" w:space="0"/>
              <w:left w:val="single" w:color="000000" w:sz="4" w:space="0"/>
              <w:bottom w:val="single" w:color="000000" w:sz="4" w:space="0"/>
              <w:right w:val="single" w:color="000000" w:sz="4" w:space="0"/>
            </w:tcBorders>
            <w:vAlign w:val="center"/>
          </w:tcPr>
          <w:p w14:paraId="7E41D1C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元/kW</w:t>
            </w:r>
          </w:p>
        </w:tc>
        <w:tc>
          <w:tcPr>
            <w:tcW w:w="381" w:type="pct"/>
            <w:tcBorders>
              <w:top w:val="single" w:color="000000" w:sz="4" w:space="0"/>
              <w:left w:val="single" w:color="000000" w:sz="4" w:space="0"/>
              <w:bottom w:val="single" w:color="000000" w:sz="4" w:space="0"/>
              <w:right w:val="single" w:color="000000" w:sz="4" w:space="0"/>
            </w:tcBorders>
            <w:vAlign w:val="center"/>
          </w:tcPr>
          <w:p w14:paraId="328EC1A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E4DE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2C3AD1F1">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-备用时段备用价格（96点全时段）(96*4字节)</w:t>
            </w:r>
          </w:p>
          <w:p w14:paraId="1F7998EF">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区间备用价格,</w:t>
            </w:r>
          </w:p>
          <w:p w14:paraId="6E787A6A">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区间备用价格,</w:t>
            </w:r>
          </w:p>
          <w:p w14:paraId="15E9386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r w14:paraId="5B8F9874">
        <w:tblPrEx>
          <w:tblCellMar>
            <w:top w:w="0" w:type="dxa"/>
            <w:left w:w="0" w:type="dxa"/>
            <w:bottom w:w="0" w:type="dxa"/>
            <w:right w:w="0" w:type="dxa"/>
          </w:tblCellMar>
        </w:tblPrEx>
        <w:trPr>
          <w:trHeight w:val="363" w:hRule="atLeast"/>
          <w:jc w:val="center"/>
        </w:trPr>
        <w:tc>
          <w:tcPr>
            <w:tcW w:w="849" w:type="pct"/>
            <w:tcBorders>
              <w:top w:val="single" w:color="000000" w:sz="4" w:space="0"/>
              <w:left w:val="single" w:color="000000" w:sz="4" w:space="0"/>
              <w:bottom w:val="single" w:color="000000" w:sz="4" w:space="0"/>
              <w:right w:val="single" w:color="000000" w:sz="4" w:space="0"/>
            </w:tcBorders>
            <w:vAlign w:val="center"/>
          </w:tcPr>
          <w:p w14:paraId="5B143FE8">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p w14:paraId="7730DF3E">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p w14:paraId="68A65DB9">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NNNNNNNN</w:t>
            </w:r>
          </w:p>
        </w:tc>
        <w:tc>
          <w:tcPr>
            <w:tcW w:w="858" w:type="pct"/>
            <w:tcBorders>
              <w:top w:val="single" w:color="000000" w:sz="4" w:space="0"/>
              <w:left w:val="single" w:color="000000" w:sz="4" w:space="0"/>
              <w:bottom w:val="single" w:color="000000" w:sz="4" w:space="0"/>
              <w:right w:val="single" w:color="000000" w:sz="4" w:space="0"/>
            </w:tcBorders>
            <w:vAlign w:val="center"/>
          </w:tcPr>
          <w:p w14:paraId="77630614">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元</w:t>
            </w:r>
          </w:p>
        </w:tc>
        <w:tc>
          <w:tcPr>
            <w:tcW w:w="381" w:type="pct"/>
            <w:tcBorders>
              <w:top w:val="single" w:color="000000" w:sz="4" w:space="0"/>
              <w:left w:val="single" w:color="000000" w:sz="4" w:space="0"/>
              <w:bottom w:val="single" w:color="000000" w:sz="4" w:space="0"/>
              <w:right w:val="single" w:color="000000" w:sz="4" w:space="0"/>
            </w:tcBorders>
            <w:vAlign w:val="center"/>
          </w:tcPr>
          <w:p w14:paraId="5B0D4B6D">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4CBD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c>
          <w:tcPr>
            <w:tcW w:w="2524" w:type="pct"/>
            <w:tcBorders>
              <w:top w:val="single" w:color="000000" w:sz="4" w:space="0"/>
              <w:left w:val="single" w:color="000000" w:sz="4" w:space="0"/>
              <w:bottom w:val="single" w:color="000000" w:sz="4" w:space="0"/>
              <w:right w:val="single" w:color="000000" w:sz="4" w:space="0"/>
            </w:tcBorders>
            <w:shd w:val="clear" w:color="auto" w:fill="auto"/>
          </w:tcPr>
          <w:p w14:paraId="73E32890">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-备用时段容量补贴费用（96点全时段）(96*4字节)</w:t>
            </w:r>
          </w:p>
          <w:p w14:paraId="236AC997">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00:00-00:15 区间容量补贴费用,</w:t>
            </w:r>
          </w:p>
          <w:p w14:paraId="4D6B5D75">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00:15-00:30 区间容量补贴费用,</w:t>
            </w:r>
          </w:p>
          <w:p w14:paraId="37DF65DC">
            <w:pPr>
              <w:kinsoku w:val="0"/>
              <w:autoSpaceDE w:val="0"/>
              <w:autoSpaceDN w:val="0"/>
              <w:adjustRightInd w:val="0"/>
              <w:snapToGrid w:val="0"/>
              <w:spacing w:before="103" w:line="218" w:lineRule="auto"/>
              <w:ind w:left="75"/>
              <w:textAlignment w:val="baseline"/>
              <w:rPr>
                <w:rFonts w:hint="eastAsia" w:ascii="仿宋_GB2312" w:hAnsi="仿宋_GB2312" w:eastAsia="仿宋_GB2312" w:cs="仿宋_GB2312"/>
                <w:snapToGrid w:val="0"/>
                <w:spacing w:val="-2"/>
                <w:kern w:val="0"/>
                <w:sz w:val="18"/>
                <w:szCs w:val="18"/>
                <w:lang w:bidi="ar"/>
              </w:rPr>
            </w:pPr>
            <w:r>
              <w:rPr>
                <w:rFonts w:hint="eastAsia" w:ascii="仿宋_GB2312" w:hAnsi="仿宋_GB2312" w:eastAsia="仿宋_GB2312" w:cs="仿宋_GB2312"/>
                <w:snapToGrid w:val="0"/>
                <w:spacing w:val="-2"/>
                <w:kern w:val="0"/>
                <w:sz w:val="18"/>
                <w:szCs w:val="18"/>
                <w:lang w:bidi="ar"/>
              </w:rPr>
              <w:t>……</w:t>
            </w:r>
          </w:p>
        </w:tc>
      </w:tr>
    </w:tbl>
    <w:p w14:paraId="5BBE8B6F">
      <w:pPr>
        <w:spacing w:before="158" w:beforeLines="50" w:after="158" w:afterLines="50"/>
        <w:ind w:firstLine="420" w:firstLineChars="200"/>
        <w:sectPr>
          <w:footerReference r:id="rId8" w:type="default"/>
          <w:type w:val="continuous"/>
          <w:pgSz w:w="11906" w:h="16838"/>
          <w:pgMar w:top="1440" w:right="1080" w:bottom="1440" w:left="1080" w:header="851" w:footer="992" w:gutter="0"/>
          <w:pgNumType w:fmt="numberInDash"/>
          <w:cols w:space="0" w:num="1"/>
          <w:docGrid w:type="lines" w:linePitch="315" w:charSpace="0"/>
        </w:sectPr>
      </w:pPr>
    </w:p>
    <w:p w14:paraId="67A3778A">
      <w:pPr>
        <w:spacing w:before="158" w:beforeLines="50" w:after="158" w:afterLines="50"/>
        <w:ind w:firstLine="420" w:firstLineChars="200"/>
      </w:pPr>
      <w:r>
        <w:br w:type="page"/>
      </w:r>
    </w:p>
    <w:p w14:paraId="139B8C62">
      <w:pPr>
        <w:spacing w:before="158" w:beforeLines="50" w:after="158" w:afterLines="50"/>
        <w:ind w:firstLine="420" w:firstLineChars="200"/>
        <w:sectPr>
          <w:type w:val="continuous"/>
          <w:pgSz w:w="11906" w:h="16838"/>
          <w:pgMar w:top="1440" w:right="1080" w:bottom="1440" w:left="1080" w:header="851" w:footer="992" w:gutter="0"/>
          <w:pgNumType w:fmt="numberInDash"/>
          <w:cols w:space="0" w:num="1"/>
          <w:docGrid w:type="lines" w:linePitch="315" w:charSpace="0"/>
        </w:sectPr>
      </w:pPr>
    </w:p>
    <w:p w14:paraId="55686A39">
      <w:pPr>
        <w:pStyle w:val="33"/>
        <w:tabs>
          <w:tab w:val="left" w:pos="6720"/>
        </w:tabs>
        <w:spacing w:line="560" w:lineRule="exact"/>
        <w:ind w:firstLine="0" w:firstLineChars="0"/>
        <w:outlineLvl w:val="1"/>
        <w:rPr>
          <w:rFonts w:hint="eastAsia" w:ascii="黑体" w:hAnsi="黑体" w:eastAsia="黑体" w:cs="黑体"/>
          <w:b w:val="0"/>
          <w:bCs/>
          <w:sz w:val="32"/>
          <w:szCs w:val="32"/>
        </w:rPr>
      </w:pPr>
      <w:r>
        <w:rPr>
          <w:rFonts w:hint="eastAsia" w:ascii="黑体" w:hAnsi="黑体" w:eastAsia="黑体" w:cs="黑体"/>
          <w:b w:val="0"/>
          <w:bCs/>
          <w:sz w:val="32"/>
          <w:szCs w:val="32"/>
        </w:rPr>
        <w:t>附录9</w:t>
      </w:r>
    </w:p>
    <w:p w14:paraId="2E636725">
      <w:pPr>
        <w:numPr>
          <w:ilvl w:val="1"/>
          <w:numId w:val="0"/>
        </w:numPr>
        <w:adjustRightInd w:val="0"/>
        <w:snapToGrid w:val="0"/>
        <w:spacing w:before="240" w:after="120" w:line="560" w:lineRule="exact"/>
        <w:jc w:val="center"/>
        <w:rPr>
          <w:rFonts w:hint="eastAsia" w:ascii="方正小标宋_GBK" w:hAnsi="方正小标宋_GBK" w:eastAsia="方正小标宋_GBK" w:cs="方正小标宋_GBK"/>
          <w:sz w:val="44"/>
          <w:szCs w:val="44"/>
        </w:rPr>
      </w:pPr>
    </w:p>
    <w:p w14:paraId="2B1A1054">
      <w:pPr>
        <w:numPr>
          <w:ilvl w:val="1"/>
          <w:numId w:val="0"/>
        </w:numPr>
        <w:adjustRightInd w:val="0"/>
        <w:snapToGrid w:val="0"/>
        <w:spacing w:before="240" w:after="120"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电力负荷管理协议</w:t>
      </w:r>
    </w:p>
    <w:p w14:paraId="7D74513F">
      <w:pPr>
        <w:widowControl/>
        <w:numPr>
          <w:ilvl w:val="1"/>
          <w:numId w:val="0"/>
        </w:numPr>
        <w:adjustRightInd w:val="0"/>
        <w:snapToGrid w:val="0"/>
        <w:spacing w:before="240" w:after="60" w:line="276" w:lineRule="auto"/>
        <w:ind w:firstLine="643" w:firstLineChars="200"/>
        <w:jc w:val="left"/>
        <w:rPr>
          <w:rFonts w:ascii="Arial" w:hAnsi="Arial" w:eastAsia="黑体" w:cs="Arial"/>
          <w:b/>
          <w:bCs/>
          <w:sz w:val="32"/>
          <w:szCs w:val="32"/>
        </w:rPr>
      </w:pPr>
    </w:p>
    <w:p w14:paraId="596DF6B1">
      <w:pPr>
        <w:numPr>
          <w:ilvl w:val="1"/>
          <w:numId w:val="0"/>
        </w:numPr>
        <w:adjustRightInd w:val="0"/>
        <w:snapToGrid w:val="0"/>
        <w:spacing w:before="240" w:after="120" w:line="560" w:lineRule="exact"/>
        <w:ind w:firstLine="643" w:firstLineChars="200"/>
        <w:jc w:val="left"/>
        <w:rPr>
          <w:rFonts w:hint="eastAsia" w:ascii="仿宋_GB2312" w:hAnsi="仿宋_GB2312" w:eastAsia="仿宋_GB2312" w:cs="仿宋_GB2312"/>
          <w:b/>
          <w:bCs/>
          <w:sz w:val="32"/>
          <w:szCs w:val="32"/>
          <w:u w:val="single"/>
        </w:rPr>
      </w:pPr>
      <w:r>
        <w:rPr>
          <w:rFonts w:hint="eastAsia" w:ascii="仿宋_GB2312" w:hAnsi="仿宋_GB2312" w:eastAsia="仿宋_GB2312" w:cs="仿宋_GB2312"/>
          <w:b/>
          <w:bCs/>
          <w:sz w:val="32"/>
          <w:szCs w:val="32"/>
        </w:rPr>
        <w:t>甲方：</w:t>
      </w:r>
      <w:r>
        <w:rPr>
          <w:rFonts w:hint="eastAsia" w:ascii="仿宋_GB2312" w:hAnsi="仿宋_GB2312" w:eastAsia="仿宋_GB2312" w:cs="仿宋_GB2312"/>
          <w:b/>
          <w:bCs/>
          <w:sz w:val="32"/>
          <w:szCs w:val="32"/>
          <w:u w:val="single"/>
        </w:rPr>
        <w:t xml:space="preserve">                    </w:t>
      </w:r>
      <w:r>
        <w:rPr>
          <w:rFonts w:hint="eastAsia" w:ascii="仿宋_GB2312" w:hAnsi="仿宋_GB2312" w:eastAsia="黑体" w:cs="仿宋_GB2312"/>
          <w:b/>
          <w:bCs/>
          <w:sz w:val="32"/>
          <w:szCs w:val="32"/>
          <w:u w:val="single"/>
        </w:rPr>
        <w:t xml:space="preserve"> </w:t>
      </w:r>
    </w:p>
    <w:p w14:paraId="544EC858">
      <w:pPr>
        <w:numPr>
          <w:ilvl w:val="1"/>
          <w:numId w:val="0"/>
        </w:numPr>
        <w:adjustRightInd w:val="0"/>
        <w:snapToGrid w:val="0"/>
        <w:spacing w:before="240" w:after="120"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乙方：</w:t>
      </w:r>
      <w:r>
        <w:rPr>
          <w:rFonts w:hint="eastAsia" w:ascii="仿宋_GB2312" w:hAnsi="仿宋_GB2312" w:eastAsia="仿宋_GB2312" w:cs="仿宋_GB2312"/>
          <w:b/>
          <w:bCs/>
          <w:sz w:val="32"/>
          <w:szCs w:val="32"/>
          <w:u w:val="single"/>
        </w:rPr>
        <w:t xml:space="preserve">                     </w:t>
      </w:r>
    </w:p>
    <w:p w14:paraId="4B315EF9">
      <w:pPr>
        <w:numPr>
          <w:ilvl w:val="1"/>
          <w:numId w:val="0"/>
        </w:numPr>
        <w:adjustRightInd w:val="0"/>
        <w:snapToGrid w:val="0"/>
        <w:spacing w:before="240" w:after="120"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落实《电力需求侧管理办法（2023年版）》（发改运行规〔2023〕1283号）《电力负荷管理办法（2023年版）》（发改运行规〔2023〕1261号）《广东省虚拟电厂参与电力市场交易实施方案》《广东省虚拟电厂运营管理实施细则（试行）》《广州市虚拟电厂</w:t>
      </w:r>
      <w:r>
        <w:rPr>
          <w:rFonts w:hint="eastAsia" w:ascii="仿宋_GB2312" w:hAnsi="仿宋_GB2312" w:eastAsia="仿宋_GB2312" w:cs="仿宋_GB2312"/>
          <w:sz w:val="32"/>
          <w:szCs w:val="32"/>
          <w:lang w:val="en-US" w:eastAsia="zh-CN"/>
        </w:rPr>
        <w:t>高质量发展方案</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相关文件</w:t>
      </w:r>
      <w:r>
        <w:rPr>
          <w:rFonts w:hint="eastAsia" w:ascii="仿宋_GB2312" w:hAnsi="仿宋_GB2312" w:eastAsia="仿宋_GB2312" w:cs="仿宋_GB2312"/>
          <w:sz w:val="32"/>
          <w:szCs w:val="32"/>
        </w:rPr>
        <w:t>要求，共同履行社会责任，服务新型电力系统建设，保障电力供应平稳有序，本着公平、公正、诚实、信用的原则，甲乙双方经友好协商共同签订本协议书，协议内容如下：</w:t>
      </w:r>
    </w:p>
    <w:p w14:paraId="442834D3">
      <w:pPr>
        <w:keepNext/>
        <w:keepLines/>
        <w:tabs>
          <w:tab w:val="left" w:pos="0"/>
          <w:tab w:val="left" w:pos="420"/>
        </w:tabs>
        <w:adjustRightInd w:val="0"/>
        <w:snapToGrid w:val="0"/>
        <w:spacing w:line="560" w:lineRule="exact"/>
        <w:ind w:firstLine="640" w:firstLineChars="200"/>
        <w:jc w:val="left"/>
        <w:rPr>
          <w:rFonts w:hint="eastAsia" w:ascii="黑体" w:hAnsi="黑体" w:eastAsia="黑体" w:cs="黑体"/>
          <w:kern w:val="44"/>
          <w:sz w:val="32"/>
          <w:szCs w:val="32"/>
        </w:rPr>
      </w:pPr>
      <w:r>
        <w:rPr>
          <w:rFonts w:hint="eastAsia" w:ascii="黑体" w:hAnsi="黑体" w:eastAsia="黑体" w:cs="黑体"/>
          <w:kern w:val="44"/>
          <w:sz w:val="32"/>
          <w:szCs w:val="32"/>
        </w:rPr>
        <w:t>一、双方权利与义务</w:t>
      </w:r>
    </w:p>
    <w:p w14:paraId="55CABD7F">
      <w:pPr>
        <w:autoSpaceDE w:val="0"/>
        <w:adjustRightInd w:val="0"/>
        <w:snapToGrid w:val="0"/>
        <w:spacing w:line="560" w:lineRule="exact"/>
        <w:ind w:firstLine="640" w:firstLineChars="200"/>
        <w:rPr>
          <w:rFonts w:hint="eastAsia" w:ascii="楷体_GB2312" w:hAnsi="楷体_GB2312" w:eastAsia="楷体_GB2312" w:cs="楷体_GB2312"/>
          <w:b w:val="0"/>
          <w:bCs w:val="0"/>
          <w:sz w:val="32"/>
        </w:rPr>
      </w:pPr>
      <w:r>
        <w:rPr>
          <w:rFonts w:hint="eastAsia" w:ascii="楷体_GB2312" w:hAnsi="楷体_GB2312" w:eastAsia="楷体_GB2312" w:cs="楷体_GB2312"/>
          <w:b w:val="0"/>
          <w:bCs w:val="0"/>
          <w:sz w:val="32"/>
        </w:rPr>
        <w:t>（一）甲方权利与义务</w:t>
      </w:r>
    </w:p>
    <w:p w14:paraId="082265C1">
      <w:pPr>
        <w:numPr>
          <w:ilvl w:val="0"/>
          <w:numId w:val="18"/>
        </w:numPr>
        <w:spacing w:line="560" w:lineRule="exact"/>
        <w:ind w:left="0"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甲方的虚拟电厂管理平台对接乙方自有技术支持系统的平台，实施必要的网络安全措施，建设过程中新装的智能量测终端等负荷管理终端归属于甲方，由甲方负责运维。</w:t>
      </w:r>
    </w:p>
    <w:p w14:paraId="647E4417">
      <w:pPr>
        <w:numPr>
          <w:ilvl w:val="0"/>
          <w:numId w:val="18"/>
        </w:numPr>
        <w:spacing w:line="560" w:lineRule="exact"/>
        <w:ind w:left="0"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甲方产权范围内的智能量测终端、负荷管理设备、柔性调节设备，包括智能柔性调控终端和协议转换网关，归属于甲方。</w:t>
      </w:r>
    </w:p>
    <w:p w14:paraId="7FE5C804">
      <w:pPr>
        <w:numPr>
          <w:ilvl w:val="0"/>
          <w:numId w:val="18"/>
        </w:numPr>
        <w:spacing w:line="560" w:lineRule="exact"/>
        <w:ind w:left="14" w:firstLine="626"/>
        <w:rPr>
          <w:rFonts w:hint="eastAsia" w:ascii="仿宋_GB2312" w:hAnsi="仿宋_GB2312" w:eastAsia="仿宋_GB2312" w:cs="仿宋_GB2312"/>
          <w:sz w:val="32"/>
        </w:rPr>
      </w:pPr>
      <w:r>
        <w:rPr>
          <w:rFonts w:hint="eastAsia" w:ascii="仿宋_GB2312" w:hAnsi="仿宋_GB2312" w:eastAsia="仿宋_GB2312" w:cs="仿宋_GB2312"/>
          <w:sz w:val="32"/>
        </w:rPr>
        <w:t>甲方负责向乙方提供经过审核的商用密码软件工具包（SDK）和基于国密算法的证书，用于乙方自有技术支持系统的数据加密、解密及安全认证功能的集成。甲方同时提供相关技术说明和接口文档。</w:t>
      </w:r>
    </w:p>
    <w:p w14:paraId="3CD2AE4B">
      <w:pPr>
        <w:numPr>
          <w:ilvl w:val="0"/>
          <w:numId w:val="18"/>
        </w:numPr>
        <w:spacing w:line="560" w:lineRule="exact"/>
        <w:ind w:left="0"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szCs w:val="32"/>
        </w:rPr>
        <w:t>甲方、乙方</w:t>
      </w:r>
      <w:r>
        <w:rPr>
          <w:rFonts w:hint="eastAsia" w:ascii="仿宋_GB2312" w:hAnsi="仿宋_GB2312" w:eastAsia="仿宋_GB2312" w:cs="仿宋_GB2312"/>
          <w:sz w:val="32"/>
        </w:rPr>
        <w:t>双方应共同检验虚拟电厂管理平台对接乙方自有技术支持系统的远程对接，对远程柔性调节功能进行有效性验证。</w:t>
      </w:r>
    </w:p>
    <w:p w14:paraId="4A416F9C">
      <w:pPr>
        <w:numPr>
          <w:ilvl w:val="0"/>
          <w:numId w:val="18"/>
        </w:numPr>
        <w:spacing w:line="560" w:lineRule="exact"/>
        <w:ind w:left="0"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甲方通过</w:t>
      </w:r>
      <w:r>
        <w:rPr>
          <w:rFonts w:hint="eastAsia" w:ascii="仿宋_GB2312" w:hAnsi="仿宋_GB2312" w:eastAsia="仿宋_GB2312" w:cs="仿宋_GB2312"/>
          <w:sz w:val="32"/>
        </w:rPr>
        <w:t>虚拟电厂管理平台对接乙方自有技术支持系统</w:t>
      </w:r>
      <w:r>
        <w:rPr>
          <w:rFonts w:hint="eastAsia" w:ascii="Times New Roman" w:hAnsi="Times New Roman" w:eastAsia="仿宋_GB2312" w:cs="Times New Roman"/>
          <w:sz w:val="32"/>
        </w:rPr>
        <w:t>开展运行监测和安全检测，包括对虚拟电厂及其聚合用户、可调节资源的实时运行监测。如监测过程中发现乙方</w:t>
      </w:r>
      <w:r>
        <w:rPr>
          <w:rFonts w:hint="eastAsia" w:ascii="Times New Roman" w:hAnsi="Times New Roman" w:eastAsia="仿宋_GB2312" w:cs="Times New Roman"/>
          <w:sz w:val="32"/>
          <w:lang w:val="en-US" w:eastAsia="zh-CN"/>
        </w:rPr>
        <w:t>及其</w:t>
      </w:r>
      <w:r>
        <w:rPr>
          <w:rFonts w:hint="eastAsia" w:ascii="Times New Roman" w:hAnsi="Times New Roman" w:eastAsia="仿宋_GB2312" w:cs="Times New Roman"/>
          <w:sz w:val="32"/>
        </w:rPr>
        <w:t>代理的电力用户违反本协议或《广东省虚拟电厂运营管理实施细则（试行）</w:t>
      </w:r>
      <w:r>
        <w:rPr>
          <w:rFonts w:hint="eastAsia" w:ascii="Times New Roman" w:hAnsi="Times New Roman" w:eastAsia="仿宋_GB2312" w:cs="Times New Roman"/>
          <w:sz w:val="32"/>
          <w:highlight w:val="none"/>
        </w:rPr>
        <w:t>》《广州市虚拟电厂运营</w:t>
      </w:r>
      <w:r>
        <w:rPr>
          <w:rFonts w:hint="eastAsia" w:ascii="Times New Roman" w:hAnsi="Times New Roman" w:eastAsia="仿宋_GB2312" w:cs="Times New Roman"/>
          <w:sz w:val="32"/>
          <w:highlight w:val="none"/>
          <w:lang w:val="en-US" w:eastAsia="zh-CN"/>
        </w:rPr>
        <w:t>管理办法</w:t>
      </w:r>
      <w:r>
        <w:rPr>
          <w:rFonts w:hint="eastAsia" w:ascii="Times New Roman" w:hAnsi="Times New Roman" w:eastAsia="仿宋_GB2312" w:cs="Times New Roman"/>
          <w:sz w:val="32"/>
          <w:highlight w:val="none"/>
        </w:rPr>
        <w:t>》（以下简称“</w:t>
      </w:r>
      <w:r>
        <w:rPr>
          <w:rFonts w:hint="eastAsia" w:ascii="Times New Roman" w:hAnsi="Times New Roman" w:eastAsia="仿宋_GB2312" w:cs="Times New Roman"/>
          <w:sz w:val="32"/>
          <w:highlight w:val="none"/>
          <w:lang w:val="en-US" w:eastAsia="zh-CN"/>
        </w:rPr>
        <w:t>管理办法</w:t>
      </w:r>
      <w:r>
        <w:rPr>
          <w:rFonts w:hint="eastAsia" w:ascii="Times New Roman" w:hAnsi="Times New Roman" w:eastAsia="仿宋_GB2312" w:cs="Times New Roman"/>
          <w:sz w:val="32"/>
          <w:highlight w:val="none"/>
        </w:rPr>
        <w:t>”）</w:t>
      </w:r>
      <w:r>
        <w:rPr>
          <w:rFonts w:hint="eastAsia" w:ascii="Times New Roman" w:hAnsi="Times New Roman" w:eastAsia="仿宋_GB2312" w:cs="Times New Roman"/>
          <w:sz w:val="32"/>
        </w:rPr>
        <w:t>的有关要求，</w:t>
      </w:r>
      <w:r>
        <w:rPr>
          <w:rFonts w:hint="eastAsia" w:ascii="仿宋_GB2312" w:hAnsi="仿宋_GB2312" w:eastAsia="仿宋_GB2312" w:cs="仿宋_GB2312"/>
          <w:sz w:val="32"/>
        </w:rPr>
        <w:t>督促乙方限期整改。对未按期完成整改的，取消其虚拟电厂认定资格。</w:t>
      </w:r>
    </w:p>
    <w:p w14:paraId="30E0FB49">
      <w:pPr>
        <w:numPr>
          <w:ilvl w:val="0"/>
          <w:numId w:val="18"/>
        </w:numPr>
        <w:spacing w:line="560" w:lineRule="exact"/>
        <w:ind w:left="0"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甲方</w:t>
      </w:r>
      <w:r>
        <w:rPr>
          <w:rFonts w:hint="eastAsia" w:ascii="Times New Roman" w:hAnsi="Times New Roman" w:eastAsia="仿宋_GB2312" w:cs="Times New Roman"/>
          <w:sz w:val="32"/>
          <w:lang w:val="en-US" w:eastAsia="zh-CN"/>
        </w:rPr>
        <w:t>有权</w:t>
      </w:r>
      <w:r>
        <w:rPr>
          <w:rFonts w:hint="eastAsia" w:ascii="Times New Roman" w:hAnsi="Times New Roman" w:eastAsia="仿宋_GB2312" w:cs="Times New Roman"/>
          <w:sz w:val="32"/>
        </w:rPr>
        <w:t>对乙方报送的实际可调节能力进行核验，并</w:t>
      </w:r>
      <w:r>
        <w:rPr>
          <w:rFonts w:hint="eastAsia" w:ascii="仿宋_GB2312" w:hAnsi="仿宋_GB2312" w:eastAsia="仿宋_GB2312" w:cs="仿宋_GB2312"/>
          <w:sz w:val="32"/>
          <w:szCs w:val="32"/>
        </w:rPr>
        <w:t>对运营商开展能力抽查测试，对抽查测试不通过的应限期整改，对拒不整改或整改不到位的，</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取消其虚拟电厂的响应服务资格。</w:t>
      </w:r>
      <w:r>
        <w:rPr>
          <w:rFonts w:ascii="仿宋_GB2312" w:hAnsi="仿宋_GB2312" w:eastAsia="仿宋_GB2312" w:cs="仿宋_GB2312"/>
          <w:sz w:val="32"/>
        </w:rPr>
        <w:t>如虚拟电厂实际调节能力发生重大</w:t>
      </w:r>
      <w:r>
        <w:rPr>
          <w:rFonts w:ascii="仿宋_GB2312" w:hAnsi="仿宋_GB2312" w:eastAsia="仿宋_GB2312" w:cs="仿宋_GB2312"/>
          <w:sz w:val="32"/>
          <w:highlight w:val="none"/>
        </w:rPr>
        <w:t>变化</w:t>
      </w:r>
      <w:r>
        <w:rPr>
          <w:rFonts w:hint="eastAsia" w:ascii="仿宋_GB2312" w:hAnsi="仿宋_GB2312" w:eastAsia="仿宋_GB2312" w:cs="仿宋_GB2312"/>
          <w:sz w:val="32"/>
          <w:highlight w:val="none"/>
        </w:rPr>
        <w:t>，按</w:t>
      </w:r>
      <w:r>
        <w:rPr>
          <w:rFonts w:hint="eastAsia" w:ascii="Times New Roman" w:hAnsi="Times New Roman" w:eastAsia="仿宋_GB2312" w:cs="Times New Roman"/>
          <w:sz w:val="32"/>
          <w:highlight w:val="none"/>
          <w:lang w:val="en-US" w:eastAsia="zh-CN"/>
        </w:rPr>
        <w:t>管理办法</w:t>
      </w:r>
      <w:r>
        <w:rPr>
          <w:rFonts w:hint="eastAsia" w:ascii="仿宋_GB2312" w:hAnsi="仿宋_GB2312" w:eastAsia="仿宋_GB2312" w:cs="仿宋_GB2312"/>
          <w:sz w:val="32"/>
          <w:highlight w:val="none"/>
        </w:rPr>
        <w:t>规定组织虚拟电厂进行调节能力变</w:t>
      </w:r>
      <w:r>
        <w:rPr>
          <w:rFonts w:hint="eastAsia" w:ascii="仿宋_GB2312" w:hAnsi="仿宋_GB2312" w:eastAsia="仿宋_GB2312" w:cs="仿宋_GB2312"/>
          <w:sz w:val="32"/>
        </w:rPr>
        <w:t>更。</w:t>
      </w:r>
    </w:p>
    <w:p w14:paraId="06494E0D">
      <w:pPr>
        <w:numPr>
          <w:ilvl w:val="0"/>
          <w:numId w:val="18"/>
        </w:numPr>
        <w:spacing w:line="560" w:lineRule="exact"/>
        <w:ind w:left="0"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甲方可</w:t>
      </w:r>
      <w:r>
        <w:rPr>
          <w:rFonts w:hint="eastAsia" w:ascii="仿宋_GB2312" w:hAnsi="仿宋_GB2312" w:eastAsia="仿宋_GB2312" w:cs="仿宋_GB2312"/>
          <w:sz w:val="32"/>
          <w:highlight w:val="none"/>
        </w:rPr>
        <w:t>依据政府政策和</w:t>
      </w:r>
      <w:r>
        <w:rPr>
          <w:rFonts w:hint="eastAsia" w:ascii="Times New Roman" w:hAnsi="Times New Roman" w:eastAsia="仿宋_GB2312" w:cs="Times New Roman"/>
          <w:sz w:val="32"/>
          <w:highlight w:val="none"/>
          <w:lang w:val="en-US" w:eastAsia="zh-CN"/>
        </w:rPr>
        <w:t>管理办法</w:t>
      </w:r>
      <w:r>
        <w:rPr>
          <w:rFonts w:hint="eastAsia" w:ascii="仿宋_GB2312" w:hAnsi="仿宋_GB2312" w:eastAsia="仿宋_GB2312" w:cs="仿宋_GB2312"/>
          <w:sz w:val="32"/>
          <w:highlight w:val="none"/>
        </w:rPr>
        <w:t>相关要求启</w:t>
      </w:r>
      <w:r>
        <w:rPr>
          <w:rFonts w:hint="eastAsia" w:ascii="仿宋_GB2312" w:hAnsi="仿宋_GB2312" w:eastAsia="仿宋_GB2312" w:cs="仿宋_GB2312"/>
          <w:sz w:val="32"/>
        </w:rPr>
        <w:t>动响应服务，必要时通过虚拟电厂管理平台发送调节指令至</w:t>
      </w:r>
      <w:r>
        <w:rPr>
          <w:rFonts w:hint="eastAsia" w:ascii="仿宋_GB2312" w:hAnsi="仿宋_GB2312" w:eastAsia="仿宋_GB2312" w:cs="仿宋_GB2312"/>
          <w:sz w:val="32"/>
          <w:szCs w:val="32"/>
        </w:rPr>
        <w:t>乙方</w:t>
      </w:r>
      <w:r>
        <w:rPr>
          <w:rFonts w:hint="eastAsia" w:ascii="仿宋_GB2312" w:hAnsi="仿宋_GB2312" w:eastAsia="仿宋_GB2312" w:cs="仿宋_GB2312"/>
          <w:sz w:val="32"/>
        </w:rPr>
        <w:t>的自有技术支持系统，乙方按照指令做好聚合资源的负荷调节。</w:t>
      </w:r>
    </w:p>
    <w:p w14:paraId="3C73E67C">
      <w:pPr>
        <w:autoSpaceDE w:val="0"/>
        <w:adjustRightInd w:val="0"/>
        <w:snapToGrid w:val="0"/>
        <w:spacing w:line="560" w:lineRule="exact"/>
        <w:ind w:firstLine="640" w:firstLineChars="200"/>
        <w:rPr>
          <w:rFonts w:hint="eastAsia" w:ascii="楷体_GB2312" w:hAnsi="楷体_GB2312" w:eastAsia="楷体_GB2312" w:cs="楷体_GB2312"/>
          <w:b w:val="0"/>
          <w:bCs w:val="0"/>
          <w:sz w:val="32"/>
        </w:rPr>
      </w:pPr>
      <w:r>
        <w:rPr>
          <w:rFonts w:hint="eastAsia" w:ascii="楷体_GB2312" w:hAnsi="楷体_GB2312" w:eastAsia="楷体_GB2312" w:cs="楷体_GB2312"/>
          <w:b w:val="0"/>
          <w:bCs w:val="0"/>
          <w:sz w:val="32"/>
        </w:rPr>
        <w:t>（二）乙方权利和义务</w:t>
      </w:r>
    </w:p>
    <w:p w14:paraId="0389CB50">
      <w:pPr>
        <w:numPr>
          <w:ilvl w:val="0"/>
          <w:numId w:val="19"/>
        </w:numPr>
        <w:spacing w:line="560" w:lineRule="exact"/>
        <w:ind w:left="2" w:firstLine="640"/>
        <w:rPr>
          <w:rFonts w:hint="eastAsia" w:ascii="仿宋_GB2312" w:hAnsi="仿宋_GB2312" w:eastAsia="仿宋_GB2312" w:cs="仿宋_GB2312"/>
          <w:sz w:val="32"/>
        </w:rPr>
      </w:pPr>
      <w:r>
        <w:rPr>
          <w:rFonts w:hint="eastAsia" w:ascii="仿宋_GB2312" w:hAnsi="仿宋_GB2312" w:eastAsia="仿宋_GB2312" w:cs="仿宋_GB2312"/>
          <w:sz w:val="32"/>
          <w:szCs w:val="32"/>
        </w:rPr>
        <w:t>乙方</w:t>
      </w:r>
      <w:r>
        <w:rPr>
          <w:rFonts w:hint="eastAsia" w:ascii="Times New Roman" w:hAnsi="Times New Roman" w:eastAsia="仿宋_GB2312" w:cs="Times New Roman"/>
          <w:bCs/>
          <w:kern w:val="0"/>
          <w:sz w:val="32"/>
          <w:szCs w:val="32"/>
        </w:rPr>
        <w:t>负责对管辖范围内聚合用户的安全运行状态进行监控管理，</w:t>
      </w:r>
      <w:r>
        <w:rPr>
          <w:rFonts w:hint="eastAsia" w:ascii="仿宋_GB2312" w:hAnsi="仿宋_GB2312" w:eastAsia="仿宋_GB2312" w:cs="仿宋_GB2312"/>
          <w:sz w:val="32"/>
        </w:rPr>
        <w:t>不得擅自操作甲方产权范围内的智能量测终端、负荷管理设备、柔性调节设备等，不得擅自迁移、更改或拆除设备及接线。如发现甲方产权范围内的智能量测终端、负荷管理设备、柔性调节设备和网络安全设备存在异常，应立即联系甲方，并配合甲方进行异常处理。因乙方原因导致甲方资产修复、拆迁所产生的费用由乙方承担。</w:t>
      </w:r>
    </w:p>
    <w:p w14:paraId="63AAAB16">
      <w:pPr>
        <w:numPr>
          <w:ilvl w:val="0"/>
          <w:numId w:val="19"/>
        </w:numPr>
        <w:spacing w:line="560" w:lineRule="exact"/>
        <w:ind w:left="16" w:firstLine="624"/>
        <w:rPr>
          <w:rFonts w:hint="eastAsia" w:ascii="仿宋_GB2312" w:hAnsi="仿宋_GB2312" w:eastAsia="仿宋_GB2312" w:cs="仿宋_GB2312"/>
          <w:sz w:val="32"/>
        </w:rPr>
      </w:pPr>
      <w:r>
        <w:rPr>
          <w:rFonts w:hint="eastAsia" w:ascii="仿宋_GB2312" w:hAnsi="仿宋_GB2312" w:eastAsia="仿宋_GB2312" w:cs="仿宋_GB2312"/>
          <w:sz w:val="32"/>
          <w:szCs w:val="32"/>
        </w:rPr>
        <w:t>乙方应在</w:t>
      </w:r>
      <w:r>
        <w:rPr>
          <w:rFonts w:hint="eastAsia" w:ascii="仿宋_GB2312" w:hAnsi="仿宋_GB2312" w:eastAsia="仿宋_GB2312" w:cs="仿宋_GB2312"/>
          <w:sz w:val="32"/>
        </w:rPr>
        <w:t>内网专用区域配置RS485-以太网转换器或隔离装置等设备，并负责RS485-以太网转换器或隔离装置等设备的日常运维管理，确保设备运行正常，不影响数据采集和指令的传输。</w:t>
      </w:r>
    </w:p>
    <w:p w14:paraId="65B0C40F">
      <w:pPr>
        <w:numPr>
          <w:ilvl w:val="0"/>
          <w:numId w:val="19"/>
        </w:numPr>
        <w:spacing w:line="560" w:lineRule="exact"/>
        <w:ind w:left="16" w:firstLine="624"/>
        <w:rPr>
          <w:rFonts w:hint="eastAsia" w:ascii="仿宋_GB2312" w:hAnsi="仿宋_GB2312" w:eastAsia="仿宋_GB2312" w:cs="仿宋_GB2312"/>
          <w:sz w:val="32"/>
        </w:rPr>
      </w:pPr>
      <w:r>
        <w:rPr>
          <w:rFonts w:hint="eastAsia" w:ascii="仿宋_GB2312" w:hAnsi="仿宋_GB2312" w:eastAsia="仿宋_GB2312" w:cs="仿宋_GB2312"/>
          <w:sz w:val="32"/>
        </w:rPr>
        <w:t>乙方需按照甲方提供的商用密码SDK技术说明完成在自有技术支持系统中的部署和集成，确保系统支持安全加密、解密及认证功能，并按要求定期配合甲方完成功能验证。</w:t>
      </w:r>
    </w:p>
    <w:p w14:paraId="01F5A7C2">
      <w:pPr>
        <w:numPr>
          <w:ilvl w:val="0"/>
          <w:numId w:val="19"/>
        </w:numPr>
        <w:spacing w:line="560" w:lineRule="exact"/>
        <w:ind w:left="2" w:firstLine="640"/>
        <w:rPr>
          <w:rFonts w:hint="eastAsia" w:ascii="仿宋_GB2312" w:hAnsi="仿宋_GB2312" w:eastAsia="仿宋_GB2312" w:cs="仿宋_GB2312"/>
          <w:sz w:val="32"/>
        </w:rPr>
      </w:pPr>
      <w:r>
        <w:rPr>
          <w:rFonts w:hint="eastAsia" w:ascii="仿宋_GB2312" w:hAnsi="仿宋_GB2312" w:eastAsia="仿宋_GB2312" w:cs="仿宋_GB2312"/>
          <w:sz w:val="32"/>
        </w:rPr>
        <w:t>乙方</w:t>
      </w:r>
      <w:r>
        <w:rPr>
          <w:rFonts w:hint="eastAsia" w:ascii="Times New Roman" w:hAnsi="Times New Roman" w:eastAsia="仿宋_GB2312" w:cs="Times New Roman"/>
          <w:bCs/>
          <w:kern w:val="0"/>
          <w:sz w:val="32"/>
          <w:szCs w:val="32"/>
        </w:rPr>
        <w:t>负责与聚合用户签订</w:t>
      </w:r>
      <w:r>
        <w:rPr>
          <w:rFonts w:hint="eastAsia" w:ascii="Times New Roman" w:hAnsi="Times New Roman" w:eastAsia="仿宋_GB2312" w:cs="Times New Roman"/>
          <w:bCs/>
          <w:kern w:val="0"/>
          <w:sz w:val="32"/>
          <w:szCs w:val="32"/>
          <w:lang w:eastAsia="zh-CN"/>
        </w:rPr>
        <w:t>《广州市虚拟电厂电力响应服务代理协议（试行）》</w:t>
      </w:r>
      <w:r>
        <w:rPr>
          <w:rFonts w:hint="eastAsia" w:ascii="Times New Roman" w:hAnsi="Times New Roman" w:eastAsia="仿宋_GB2312" w:cs="Times New Roman"/>
          <w:bCs/>
          <w:kern w:val="0"/>
          <w:sz w:val="32"/>
          <w:szCs w:val="32"/>
        </w:rPr>
        <w:t>，管控和运营响应资源，</w:t>
      </w:r>
      <w:r>
        <w:rPr>
          <w:rFonts w:hint="eastAsia" w:ascii="仿宋_GB2312" w:hAnsi="仿宋_GB2312" w:eastAsia="仿宋_GB2312" w:cs="仿宋_GB2312"/>
          <w:sz w:val="32"/>
        </w:rPr>
        <w:t>应向甲方提供所聚合的可调节资源基础档案资料，并保证数据的准确性、及时更新。</w:t>
      </w:r>
    </w:p>
    <w:p w14:paraId="1B24EBD5">
      <w:pPr>
        <w:numPr>
          <w:ilvl w:val="0"/>
          <w:numId w:val="19"/>
        </w:numPr>
        <w:spacing w:line="560" w:lineRule="exact"/>
        <w:ind w:left="2" w:firstLine="640"/>
        <w:rPr>
          <w:rFonts w:ascii="Times New Roman" w:hAnsi="Times New Roman" w:eastAsia="仿宋_GB2312" w:cs="Times New Roman"/>
          <w:sz w:val="32"/>
        </w:rPr>
      </w:pPr>
      <w:r>
        <w:rPr>
          <w:rFonts w:hint="eastAsia" w:ascii="仿宋_GB2312" w:hAnsi="仿宋_GB2312" w:eastAsia="仿宋_GB2312" w:cs="仿宋_GB2312"/>
          <w:sz w:val="32"/>
        </w:rPr>
        <w:t>乙方应协助</w:t>
      </w:r>
      <w:r>
        <w:rPr>
          <w:rFonts w:hint="eastAsia" w:ascii="Times New Roman" w:hAnsi="Times New Roman" w:eastAsia="仿宋_GB2312" w:cs="Times New Roman"/>
          <w:bCs/>
          <w:kern w:val="0"/>
          <w:sz w:val="32"/>
          <w:szCs w:val="32"/>
        </w:rPr>
        <w:t>聚合</w:t>
      </w:r>
      <w:r>
        <w:rPr>
          <w:rFonts w:hint="eastAsia" w:ascii="仿宋_GB2312" w:hAnsi="仿宋_GB2312" w:eastAsia="仿宋_GB2312" w:cs="仿宋_GB2312"/>
          <w:sz w:val="32"/>
        </w:rPr>
        <w:t>用户做好自身可调节资源梳理，与代理用户共同制定可调节资源接入方案，并接入乙方自有技术支持系统。</w:t>
      </w:r>
    </w:p>
    <w:p w14:paraId="632144A6">
      <w:pPr>
        <w:numPr>
          <w:ilvl w:val="0"/>
          <w:numId w:val="19"/>
        </w:numPr>
        <w:spacing w:line="560" w:lineRule="exact"/>
        <w:ind w:left="2" w:firstLine="640"/>
        <w:rPr>
          <w:rFonts w:hint="eastAsia" w:ascii="仿宋_GB2312" w:hAnsi="仿宋_GB2312" w:eastAsia="仿宋_GB2312" w:cs="仿宋_GB2312"/>
          <w:sz w:val="32"/>
        </w:rPr>
      </w:pPr>
      <w:r>
        <w:rPr>
          <w:rFonts w:hint="eastAsia" w:ascii="仿宋_GB2312" w:hAnsi="仿宋_GB2312" w:eastAsia="仿宋_GB2312" w:cs="仿宋_GB2312"/>
          <w:sz w:val="32"/>
        </w:rPr>
        <w:t>乙方应配合甲方完成系统对接建设工作，与甲方共同完成系统对接远程调节功能有效性测试。完成系统接入后，乙方应配合甲方开展定期调试功能验证。</w:t>
      </w:r>
    </w:p>
    <w:p w14:paraId="50C2FB36">
      <w:pPr>
        <w:numPr>
          <w:ilvl w:val="0"/>
          <w:numId w:val="19"/>
        </w:numPr>
        <w:spacing w:line="560" w:lineRule="exact"/>
        <w:ind w:left="2" w:firstLine="640"/>
        <w:rPr>
          <w:rFonts w:ascii="Times New Roman" w:hAnsi="Times New Roman" w:eastAsia="仿宋_GB2312" w:cs="Times New Roman"/>
          <w:sz w:val="32"/>
        </w:rPr>
      </w:pPr>
      <w:r>
        <w:rPr>
          <w:rFonts w:hint="eastAsia" w:ascii="Times New Roman" w:hAnsi="Times New Roman" w:eastAsia="仿宋_GB2312" w:cs="Times New Roman"/>
          <w:bCs/>
          <w:kern w:val="0"/>
          <w:sz w:val="32"/>
          <w:szCs w:val="32"/>
        </w:rPr>
        <w:t>乙方应负责运行过程中，通过自有技术支持系统按月更新上报聚合资源的状态、实际可调节能力，</w:t>
      </w:r>
      <w:r>
        <w:rPr>
          <w:rFonts w:hint="eastAsia" w:ascii="Times New Roman" w:hAnsi="Times New Roman" w:eastAsia="仿宋_GB2312" w:cs="Times New Roman"/>
          <w:bCs/>
          <w:kern w:val="0"/>
          <w:sz w:val="32"/>
          <w:szCs w:val="32"/>
          <w:lang w:val="en-US" w:eastAsia="zh-CN"/>
        </w:rPr>
        <w:t>并</w:t>
      </w:r>
      <w:r>
        <w:rPr>
          <w:rFonts w:hint="eastAsia" w:ascii="Times New Roman" w:hAnsi="Times New Roman" w:eastAsia="仿宋_GB2312" w:cs="Times New Roman"/>
          <w:bCs/>
          <w:kern w:val="0"/>
          <w:sz w:val="32"/>
          <w:szCs w:val="32"/>
        </w:rPr>
        <w:t>接受甲方开展的能力抽查测试。</w:t>
      </w:r>
    </w:p>
    <w:p w14:paraId="032588B0">
      <w:pPr>
        <w:numPr>
          <w:ilvl w:val="0"/>
          <w:numId w:val="19"/>
        </w:numPr>
        <w:spacing w:line="560" w:lineRule="exact"/>
        <w:ind w:left="2" w:firstLine="640"/>
        <w:rPr>
          <w:rFonts w:hint="eastAsia" w:ascii="仿宋_GB2312" w:hAnsi="仿宋_GB2312" w:eastAsia="仿宋_GB2312" w:cs="仿宋_GB2312"/>
          <w:sz w:val="32"/>
        </w:rPr>
      </w:pPr>
      <w:r>
        <w:rPr>
          <w:rFonts w:hint="eastAsia" w:ascii="仿宋_GB2312" w:hAnsi="仿宋_GB2312" w:eastAsia="仿宋_GB2312" w:cs="仿宋_GB2312"/>
          <w:sz w:val="32"/>
        </w:rPr>
        <w:t>乙方在响应服务执行期间，按照政府政策和细则相关要求纳入响应服务资源管理，按照甲方通知执行相应的响应服务品种，并依据细则获取相应的经济收益。具体参与方式与补偿价格根据《广州市虚拟电厂运营</w:t>
      </w:r>
      <w:r>
        <w:rPr>
          <w:rFonts w:hint="eastAsia" w:ascii="仿宋_GB2312" w:hAnsi="仿宋_GB2312" w:eastAsia="仿宋_GB2312" w:cs="仿宋_GB2312"/>
          <w:sz w:val="32"/>
          <w:lang w:val="en-US" w:eastAsia="zh-CN"/>
        </w:rPr>
        <w:t>管理办法</w:t>
      </w:r>
      <w:r>
        <w:rPr>
          <w:rFonts w:hint="eastAsia" w:ascii="仿宋_GB2312" w:hAnsi="仿宋_GB2312" w:eastAsia="仿宋_GB2312" w:cs="仿宋_GB2312"/>
          <w:sz w:val="32"/>
        </w:rPr>
        <w:t>》执行。</w:t>
      </w:r>
    </w:p>
    <w:p w14:paraId="24C439FB">
      <w:pPr>
        <w:numPr>
          <w:ilvl w:val="0"/>
          <w:numId w:val="19"/>
        </w:numPr>
        <w:spacing w:line="560" w:lineRule="exact"/>
        <w:ind w:left="2" w:firstLine="640"/>
        <w:rPr>
          <w:rFonts w:hint="eastAsia" w:ascii="仿宋_GB2312" w:hAnsi="仿宋_GB2312" w:eastAsia="仿宋_GB2312" w:cs="仿宋_GB2312"/>
          <w:sz w:val="32"/>
        </w:rPr>
      </w:pPr>
      <w:r>
        <w:rPr>
          <w:rFonts w:hint="eastAsia" w:ascii="仿宋_GB2312" w:hAnsi="仿宋_GB2312" w:eastAsia="仿宋_GB2312" w:cs="仿宋_GB2312"/>
          <w:sz w:val="32"/>
        </w:rPr>
        <w:t>乙方应遵循国家网络安全法律法规及电力行业规章制度，落实自身设备的网络安全防护措施，制定网络安全事件应急预案，及时处置因自身原因导致的网络安全异常事件，并向甲方提供事件信息。因乙方违法违规或处置不当造成的损失，由乙方自行承担。</w:t>
      </w:r>
    </w:p>
    <w:p w14:paraId="3E30752B">
      <w:pPr>
        <w:numPr>
          <w:ilvl w:val="0"/>
          <w:numId w:val="19"/>
        </w:numPr>
        <w:spacing w:line="560" w:lineRule="exact"/>
        <w:ind w:left="2" w:firstLine="640"/>
        <w:rPr>
          <w:rFonts w:hint="eastAsia" w:ascii="仿宋_GB2312" w:hAnsi="仿宋_GB2312" w:eastAsia="仿宋_GB2312" w:cs="仿宋_GB2312"/>
          <w:sz w:val="32"/>
        </w:rPr>
      </w:pPr>
      <w:r>
        <w:rPr>
          <w:rFonts w:hint="eastAsia" w:ascii="仿宋_GB2312" w:hAnsi="仿宋_GB2312" w:eastAsia="仿宋_GB2312" w:cs="仿宋_GB2312"/>
          <w:sz w:val="32"/>
        </w:rPr>
        <w:t>乙方应指定负责电力负荷管理工作的联系人，联系人1（姓名：     ，联系手机：      ），联系人2（姓名：     ，联系手机：      ），联系人3（姓名：     ，联系手机：      ）。如更换联系人或联系方式，乙方应及时以书面形式通知甲方进行更改。收到乙方通知后，甲方应在2个工作日内完成联系信息变更。因乙方未及时告知联系人变更或提供的联系信息有误，导致乙方无法收到负荷管理和恢复负荷通知等信息造成的损失由乙方承担。</w:t>
      </w:r>
    </w:p>
    <w:p w14:paraId="71C941B7">
      <w:pPr>
        <w:numPr>
          <w:ilvl w:val="2"/>
          <w:numId w:val="0"/>
        </w:numPr>
        <w:tabs>
          <w:tab w:val="left" w:pos="420"/>
        </w:tabs>
        <w:adjustRightInd w:val="0"/>
        <w:snapToGrid w:val="0"/>
        <w:spacing w:line="560" w:lineRule="exact"/>
        <w:ind w:firstLine="640" w:firstLineChars="200"/>
        <w:rPr>
          <w:rFonts w:ascii="Times New Roman" w:hAnsi="Times New Roman" w:eastAsia="黑体" w:cs="Times New Roman"/>
          <w:sz w:val="32"/>
        </w:rPr>
      </w:pPr>
      <w:r>
        <w:rPr>
          <w:rFonts w:hint="eastAsia" w:ascii="黑体" w:hAnsi="黑体" w:eastAsia="黑体" w:cs="黑体"/>
          <w:bCs/>
          <w:kern w:val="44"/>
          <w:sz w:val="32"/>
          <w:szCs w:val="32"/>
        </w:rPr>
        <w:t>二、遵守细则和法规</w:t>
      </w:r>
    </w:p>
    <w:p w14:paraId="5C5640AB">
      <w:pPr>
        <w:adjustRightInd w:val="0"/>
        <w:snapToGrid w:val="0"/>
        <w:spacing w:line="560" w:lineRule="exact"/>
        <w:ind w:firstLine="851" w:firstLineChars="266"/>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1.本协议条款执行过程中，甲方和乙方均应严格遵守</w:t>
      </w:r>
      <w:r>
        <w:rPr>
          <w:rFonts w:hint="eastAsia" w:ascii="仿宋_GB2312" w:hAnsi="仿宋_GB2312" w:eastAsia="仿宋_GB2312" w:cs="仿宋_GB2312"/>
          <w:sz w:val="32"/>
          <w:szCs w:val="24"/>
          <w:lang w:val="en-US" w:eastAsia="zh-CN"/>
        </w:rPr>
        <w:t>法律</w:t>
      </w:r>
      <w:r>
        <w:rPr>
          <w:rFonts w:hint="eastAsia" w:ascii="仿宋_GB2312" w:hAnsi="仿宋_GB2312" w:eastAsia="仿宋_GB2312" w:cs="仿宋_GB2312"/>
          <w:sz w:val="32"/>
          <w:szCs w:val="24"/>
        </w:rPr>
        <w:t>法规</w:t>
      </w:r>
      <w:r>
        <w:rPr>
          <w:rFonts w:hint="eastAsia" w:ascii="仿宋_GB2312" w:hAnsi="仿宋_GB2312" w:eastAsia="仿宋_GB2312" w:cs="仿宋_GB2312"/>
          <w:sz w:val="32"/>
          <w:szCs w:val="24"/>
          <w:lang w:val="en-US" w:eastAsia="zh-CN"/>
        </w:rPr>
        <w:t>及</w:t>
      </w:r>
      <w:r>
        <w:rPr>
          <w:rFonts w:hint="eastAsia" w:ascii="仿宋_GB2312" w:hAnsi="仿宋_GB2312" w:eastAsia="仿宋_GB2312" w:cs="仿宋_GB2312"/>
          <w:sz w:val="32"/>
          <w:szCs w:val="24"/>
        </w:rPr>
        <w:t>《广州市虚拟电</w:t>
      </w:r>
      <w:r>
        <w:rPr>
          <w:rFonts w:hint="eastAsia" w:ascii="仿宋_GB2312" w:hAnsi="仿宋_GB2312" w:eastAsia="仿宋_GB2312" w:cs="仿宋_GB2312"/>
          <w:sz w:val="32"/>
          <w:szCs w:val="24"/>
          <w:highlight w:val="none"/>
        </w:rPr>
        <w:t>厂</w:t>
      </w:r>
      <w:r>
        <w:rPr>
          <w:rFonts w:hint="eastAsia" w:ascii="仿宋_GB2312" w:hAnsi="仿宋_GB2312" w:eastAsia="仿宋_GB2312" w:cs="仿宋_GB2312"/>
          <w:sz w:val="32"/>
          <w:szCs w:val="24"/>
          <w:highlight w:val="none"/>
          <w:lang w:val="en-US" w:eastAsia="zh-CN"/>
        </w:rPr>
        <w:t>实施细则</w:t>
      </w:r>
      <w:r>
        <w:rPr>
          <w:rFonts w:hint="eastAsia" w:ascii="仿宋_GB2312" w:hAnsi="仿宋_GB2312" w:eastAsia="仿宋_GB2312" w:cs="仿宋_GB2312"/>
          <w:sz w:val="32"/>
          <w:szCs w:val="24"/>
          <w:highlight w:val="none"/>
        </w:rPr>
        <w:t>》</w:t>
      </w:r>
      <w:r>
        <w:rPr>
          <w:rFonts w:hint="eastAsia" w:ascii="仿宋_GB2312" w:hAnsi="仿宋_GB2312" w:eastAsia="仿宋_GB2312" w:cs="仿宋_GB2312"/>
          <w:sz w:val="32"/>
          <w:szCs w:val="24"/>
          <w:highlight w:val="none"/>
          <w:lang w:val="en-US" w:eastAsia="zh-CN"/>
        </w:rPr>
        <w:t>和</w:t>
      </w:r>
      <w:r>
        <w:rPr>
          <w:rFonts w:hint="eastAsia" w:ascii="仿宋_GB2312" w:hAnsi="仿宋_GB2312" w:eastAsia="仿宋_GB2312" w:cs="仿宋_GB2312"/>
          <w:sz w:val="32"/>
          <w:szCs w:val="24"/>
          <w:highlight w:val="none"/>
        </w:rPr>
        <w:t>《广州市虚拟电厂运营</w:t>
      </w:r>
      <w:r>
        <w:rPr>
          <w:rFonts w:hint="eastAsia" w:ascii="仿宋_GB2312" w:hAnsi="仿宋_GB2312" w:eastAsia="仿宋_GB2312" w:cs="仿宋_GB2312"/>
          <w:sz w:val="32"/>
          <w:szCs w:val="24"/>
          <w:highlight w:val="none"/>
          <w:lang w:val="en-US" w:eastAsia="zh-CN"/>
        </w:rPr>
        <w:t>管理办法</w:t>
      </w:r>
      <w:r>
        <w:rPr>
          <w:rFonts w:hint="eastAsia" w:ascii="仿宋_GB2312" w:hAnsi="仿宋_GB2312" w:eastAsia="仿宋_GB2312" w:cs="仿宋_GB2312"/>
          <w:sz w:val="32"/>
          <w:szCs w:val="24"/>
          <w:highlight w:val="none"/>
        </w:rPr>
        <w:t>》。</w:t>
      </w:r>
    </w:p>
    <w:p w14:paraId="03175635">
      <w:pPr>
        <w:adjustRightInd w:val="0"/>
        <w:snapToGrid w:val="0"/>
        <w:spacing w:line="560" w:lineRule="exact"/>
        <w:ind w:firstLine="640" w:firstLineChars="200"/>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2.双方应确保所有操作、系统升级、设备维护及响应服务参与行为均符合国家和地区的法律法规以及技术标准。</w:t>
      </w:r>
    </w:p>
    <w:p w14:paraId="5B586277">
      <w:pPr>
        <w:adjustRightInd w:val="0"/>
        <w:snapToGrid w:val="0"/>
        <w:spacing w:line="560" w:lineRule="exact"/>
        <w:ind w:firstLine="640" w:firstLineChars="200"/>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3.任何因不遵守相关法规和细则而引起的法律后果或经济损失，由违规方承担相应责任。</w:t>
      </w:r>
    </w:p>
    <w:p w14:paraId="645CA50A">
      <w:pPr>
        <w:tabs>
          <w:tab w:val="left" w:pos="0"/>
        </w:tabs>
        <w:adjustRightInd w:val="0"/>
        <w:snapToGrid w:val="0"/>
        <w:spacing w:line="560" w:lineRule="exact"/>
        <w:ind w:left="425" w:firstLine="640" w:firstLineChars="200"/>
        <w:jc w:val="left"/>
        <w:rPr>
          <w:rFonts w:hint="eastAsia" w:ascii="黑体" w:hAnsi="黑体" w:eastAsia="黑体" w:cs="黑体"/>
          <w:kern w:val="44"/>
          <w:sz w:val="32"/>
          <w:szCs w:val="32"/>
        </w:rPr>
      </w:pPr>
      <w:r>
        <w:rPr>
          <w:rFonts w:hint="eastAsia" w:ascii="黑体" w:hAnsi="黑体" w:eastAsia="黑体" w:cs="黑体"/>
          <w:kern w:val="44"/>
          <w:sz w:val="32"/>
          <w:szCs w:val="32"/>
        </w:rPr>
        <w:t>三、协议生效及终止</w:t>
      </w:r>
    </w:p>
    <w:p w14:paraId="2CDFBB4F">
      <w:pPr>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1.本协议自双方法定代表人或委托代理人签字，并加盖公章或合同专用章后生效。接入</w:t>
      </w:r>
      <w:r>
        <w:rPr>
          <w:rFonts w:ascii="仿宋_GB2312" w:hAnsi="仿宋_GB2312" w:eastAsia="仿宋_GB2312" w:cs="仿宋_GB2312"/>
          <w:sz w:val="32"/>
        </w:rPr>
        <w:t>负荷管理系统</w:t>
      </w:r>
      <w:r>
        <w:rPr>
          <w:rFonts w:hint="eastAsia" w:ascii="仿宋_GB2312" w:hAnsi="仿宋_GB2312" w:eastAsia="仿宋_GB2312" w:cs="仿宋_GB2312"/>
          <w:sz w:val="32"/>
        </w:rPr>
        <w:t>的分路开关信息或可调节负荷信息需要变更的，双方须协商一致，另行签订补充或变更协议，补充或变更协议与本协议具有同等效力。</w:t>
      </w:r>
    </w:p>
    <w:p w14:paraId="59F18498">
      <w:pPr>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2.本协议自签署之日起生效，</w:t>
      </w:r>
      <w:r>
        <w:rPr>
          <w:rFonts w:hint="eastAsia" w:ascii="仿宋_GB2312" w:hAnsi="仿宋_GB2312" w:eastAsia="仿宋_GB2312" w:cs="仿宋_GB2312"/>
          <w:sz w:val="32"/>
          <w:highlight w:val="none"/>
        </w:rPr>
        <w:t>有效期为</w:t>
      </w:r>
      <w:r>
        <w:rPr>
          <w:rFonts w:hint="eastAsia" w:ascii="仿宋_GB2312" w:hAnsi="仿宋_GB2312" w:eastAsia="仿宋_GB2312" w:cs="仿宋_GB2312"/>
          <w:sz w:val="32"/>
          <w:highlight w:val="none"/>
          <w:lang w:val="en-US" w:eastAsia="zh-CN"/>
        </w:rPr>
        <w:t>四</w:t>
      </w:r>
      <w:r>
        <w:rPr>
          <w:rFonts w:hint="eastAsia" w:ascii="仿宋_GB2312" w:hAnsi="仿宋_GB2312" w:eastAsia="仿宋_GB2312" w:cs="仿宋_GB2312"/>
          <w:sz w:val="32"/>
          <w:highlight w:val="none"/>
        </w:rPr>
        <w:t>年。</w:t>
      </w:r>
      <w:r>
        <w:rPr>
          <w:rFonts w:hint="eastAsia" w:ascii="仿宋_GB2312" w:hAnsi="仿宋_GB2312" w:eastAsia="仿宋_GB2312" w:cs="仿宋_GB2312"/>
          <w:sz w:val="32"/>
        </w:rPr>
        <w:t>有效期满后若甲乙双方均未对本协议条款提出书面异议，本协议自动展期1年，展期不受次数限制。在协议履行期间，若一方书面提出终止协议的，双方应协商确定协议终止履行日期。由于国家政策调整、甲乙双方能力变化或不可抗力等原因造成本协议或附录无法继续履行时，双方可协商一致后终止本协议执行。</w:t>
      </w:r>
    </w:p>
    <w:p w14:paraId="3C83D85D">
      <w:pPr>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3.本协议履行期间内，双方发生的争议，参照双方签订的《甲乙双方合同》相关条款处理。</w:t>
      </w:r>
    </w:p>
    <w:p w14:paraId="61ED8330">
      <w:pPr>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4.本协议正本一式</w:t>
      </w:r>
      <w:r>
        <w:rPr>
          <w:rFonts w:hint="eastAsia" w:ascii="仿宋_GB2312" w:hAnsi="仿宋_GB2312" w:eastAsia="仿宋_GB2312" w:cs="仿宋_GB2312"/>
          <w:sz w:val="32"/>
          <w:lang w:val="en-US" w:eastAsia="zh-CN"/>
        </w:rPr>
        <w:t>贰</w:t>
      </w:r>
      <w:r>
        <w:rPr>
          <w:rFonts w:hint="eastAsia" w:ascii="仿宋_GB2312" w:hAnsi="仿宋_GB2312" w:eastAsia="仿宋_GB2312" w:cs="仿宋_GB2312"/>
          <w:sz w:val="32"/>
        </w:rPr>
        <w:t>份，具有同等法律效力，甲乙双方各执壹份。</w:t>
      </w:r>
    </w:p>
    <w:p w14:paraId="03D7EBF7">
      <w:pPr>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(本页以下无正文)</w:t>
      </w:r>
    </w:p>
    <w:p w14:paraId="13A1D71B">
      <w:pPr>
        <w:numPr>
          <w:ilvl w:val="1"/>
          <w:numId w:val="0"/>
        </w:numPr>
        <w:spacing w:line="560" w:lineRule="exact"/>
        <w:ind w:firstLine="640" w:firstLineChars="200"/>
        <w:rPr>
          <w:rFonts w:hint="eastAsia" w:ascii="仿宋_GB2312" w:hAnsi="仿宋_GB2312" w:eastAsia="仿宋_GB2312" w:cs="仿宋_GB2312"/>
          <w:sz w:val="32"/>
        </w:rPr>
      </w:pPr>
    </w:p>
    <w:p w14:paraId="67DC9313">
      <w:pPr>
        <w:pStyle w:val="2"/>
        <w:rPr>
          <w:rFonts w:hint="eastAsia" w:ascii="仿宋_GB2312" w:hAnsi="仿宋_GB2312" w:eastAsia="仿宋_GB2312" w:cs="仿宋_GB2312"/>
          <w:sz w:val="32"/>
        </w:rPr>
        <w:sectPr>
          <w:headerReference r:id="rId11" w:type="first"/>
          <w:footerReference r:id="rId14" w:type="first"/>
          <w:headerReference r:id="rId9" w:type="default"/>
          <w:footerReference r:id="rId12" w:type="default"/>
          <w:headerReference r:id="rId10" w:type="even"/>
          <w:footerReference r:id="rId13" w:type="even"/>
          <w:type w:val="continuous"/>
          <w:pgSz w:w="11906" w:h="16838"/>
          <w:pgMar w:top="1440" w:right="1797" w:bottom="1440" w:left="1797" w:header="851" w:footer="992" w:gutter="0"/>
          <w:pgNumType w:fmt="numberInDash"/>
          <w:cols w:space="425" w:num="1"/>
          <w:docGrid w:type="lines" w:linePitch="312" w:charSpace="0"/>
        </w:sectPr>
      </w:pPr>
    </w:p>
    <w:p w14:paraId="368B72F5">
      <w:pPr>
        <w:spacing w:line="586" w:lineRule="exact"/>
        <w:ind w:firstLine="643" w:firstLineChars="200"/>
        <w:jc w:val="center"/>
        <w:rPr>
          <w:rFonts w:hint="eastAsia" w:ascii="仿宋_GB2312" w:hAnsi="仿宋" w:eastAsia="仿宋_GB2312" w:cs="仿宋"/>
          <w:b/>
          <w:bCs w:val="0"/>
          <w:sz w:val="32"/>
          <w:szCs w:val="32"/>
          <w:lang w:val="en-US" w:eastAsia="zh-CN"/>
        </w:rPr>
      </w:pPr>
      <w:r>
        <w:rPr>
          <w:rFonts w:hint="eastAsia" w:ascii="仿宋_GB2312" w:hAnsi="仿宋" w:eastAsia="仿宋_GB2312" w:cs="仿宋"/>
          <w:b/>
          <w:bCs w:val="0"/>
          <w:sz w:val="32"/>
          <w:szCs w:val="32"/>
          <w:lang w:val="en-US" w:eastAsia="zh-CN"/>
        </w:rPr>
        <w:t>签  署  页</w:t>
      </w:r>
    </w:p>
    <w:p w14:paraId="2F7C7918">
      <w:pPr>
        <w:spacing w:line="360" w:lineRule="auto"/>
        <w:rPr>
          <w:rFonts w:ascii="微软雅黑" w:hAnsi="微软雅黑" w:eastAsia="微软雅黑" w:cs="Times New Roman"/>
          <w:sz w:val="30"/>
          <w:szCs w:val="30"/>
        </w:rPr>
      </w:pPr>
    </w:p>
    <w:p w14:paraId="14D75072">
      <w:pPr>
        <w:spacing w:line="360" w:lineRule="auto"/>
        <w:rPr>
          <w:rFonts w:ascii="仿宋_GB2312" w:hAnsi="宋体" w:eastAsia="仿宋_GB2312" w:cs="Times New Roman"/>
          <w:sz w:val="28"/>
          <w:szCs w:val="28"/>
        </w:rPr>
      </w:pPr>
      <w:r>
        <w:rPr>
          <w:rFonts w:hint="eastAsia" w:ascii="仿宋_GB2312" w:hAnsi="宋体" w:eastAsia="仿宋_GB2312" w:cs="Times New Roman"/>
          <w:sz w:val="28"/>
          <w:szCs w:val="28"/>
        </w:rPr>
        <w:t>甲方(盖章)：                      乙方(盖章)：</w:t>
      </w:r>
    </w:p>
    <w:p w14:paraId="58603E6A">
      <w:pPr>
        <w:spacing w:line="360" w:lineRule="auto"/>
        <w:rPr>
          <w:rFonts w:ascii="仿宋_GB2312" w:hAnsi="宋体" w:eastAsia="仿宋_GB2312" w:cs="Times New Roman"/>
          <w:sz w:val="28"/>
          <w:szCs w:val="28"/>
        </w:rPr>
      </w:pPr>
    </w:p>
    <w:p w14:paraId="1182EA22">
      <w:pPr>
        <w:spacing w:line="360" w:lineRule="auto"/>
        <w:rPr>
          <w:rFonts w:ascii="仿宋_GB2312" w:hAnsi="宋体" w:eastAsia="仿宋_GB2312" w:cs="Times New Roman"/>
          <w:sz w:val="28"/>
          <w:szCs w:val="28"/>
        </w:rPr>
      </w:pPr>
    </w:p>
    <w:p w14:paraId="738DBDE2">
      <w:pPr>
        <w:wordWrap w:val="0"/>
        <w:adjustRightInd w:val="0"/>
        <w:snapToGrid w:val="0"/>
        <w:spacing w:line="480" w:lineRule="exact"/>
        <w:rPr>
          <w:rFonts w:ascii="仿宋_GB2312" w:hAnsi="宋体" w:eastAsia="仿宋_GB2312" w:cs="Times New Roman"/>
          <w:sz w:val="28"/>
          <w:szCs w:val="28"/>
        </w:rPr>
      </w:pPr>
      <w:r>
        <w:rPr>
          <w:rFonts w:hint="eastAsia" w:ascii="仿宋_GB2312" w:hAnsi="宋体" w:eastAsia="仿宋_GB2312" w:cs="Times New Roman"/>
          <w:sz w:val="28"/>
          <w:szCs w:val="28"/>
        </w:rPr>
        <w:t>法定代表人（负责人）或            法定代表人（负责人）或</w:t>
      </w:r>
    </w:p>
    <w:p w14:paraId="092637AC">
      <w:pPr>
        <w:wordWrap w:val="0"/>
        <w:adjustRightInd w:val="0"/>
        <w:snapToGrid w:val="0"/>
        <w:spacing w:line="480" w:lineRule="exact"/>
        <w:rPr>
          <w:rFonts w:ascii="仿宋_GB2312" w:hAnsi="宋体" w:eastAsia="仿宋_GB2312" w:cs="Times New Roman"/>
          <w:sz w:val="28"/>
          <w:szCs w:val="28"/>
        </w:rPr>
      </w:pPr>
      <w:r>
        <w:rPr>
          <w:rFonts w:hint="eastAsia" w:ascii="仿宋_GB2312" w:hAnsi="宋体" w:eastAsia="仿宋_GB2312" w:cs="Times New Roman"/>
          <w:sz w:val="28"/>
          <w:szCs w:val="28"/>
        </w:rPr>
        <w:t>授权代表（签字）：                授权代表（签字）：</w:t>
      </w:r>
    </w:p>
    <w:p w14:paraId="62A293F5">
      <w:pPr>
        <w:spacing w:line="360" w:lineRule="auto"/>
        <w:rPr>
          <w:rFonts w:ascii="仿宋_GB2312" w:hAnsi="宋体" w:eastAsia="仿宋_GB2312" w:cs="Times New Roman"/>
          <w:sz w:val="28"/>
          <w:szCs w:val="28"/>
        </w:rPr>
      </w:pPr>
    </w:p>
    <w:p w14:paraId="19B8E548">
      <w:pPr>
        <w:spacing w:line="360" w:lineRule="auto"/>
        <w:rPr>
          <w:rFonts w:ascii="仿宋_GB2312" w:hAnsi="宋体" w:eastAsia="仿宋_GB2312" w:cs="Times New Roman"/>
          <w:sz w:val="28"/>
          <w:szCs w:val="28"/>
        </w:rPr>
      </w:pPr>
    </w:p>
    <w:p w14:paraId="63131B85">
      <w:pPr>
        <w:spacing w:line="360" w:lineRule="auto"/>
        <w:rPr>
          <w:rFonts w:ascii="仿宋_GB2312" w:hAnsi="宋体" w:eastAsia="仿宋_GB2312" w:cs="Times New Roman"/>
          <w:sz w:val="28"/>
          <w:szCs w:val="28"/>
        </w:rPr>
      </w:pPr>
    </w:p>
    <w:p w14:paraId="3B9E85BB">
      <w:pPr>
        <w:spacing w:line="360" w:lineRule="auto"/>
        <w:rPr>
          <w:rFonts w:ascii="仿宋_GB2312" w:hAnsi="宋体" w:eastAsia="仿宋_GB2312" w:cs="Times New Roman"/>
          <w:sz w:val="28"/>
          <w:szCs w:val="28"/>
        </w:rPr>
      </w:pPr>
      <w:r>
        <w:rPr>
          <w:rFonts w:hint="eastAsia" w:ascii="仿宋_GB2312" w:hAnsi="宋体" w:eastAsia="仿宋_GB2312" w:cs="Times New Roman"/>
          <w:sz w:val="28"/>
          <w:szCs w:val="28"/>
        </w:rPr>
        <w:t xml:space="preserve">签字日期： </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年</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月</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日       签字日期：</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年</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月</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日</w:t>
      </w:r>
    </w:p>
    <w:p w14:paraId="5F094858">
      <w:pPr>
        <w:spacing w:line="360" w:lineRule="auto"/>
        <w:rPr>
          <w:rFonts w:ascii="仿宋_GB2312" w:hAnsi="宋体" w:eastAsia="仿宋_GB2312" w:cs="Times New Roman"/>
          <w:sz w:val="28"/>
          <w:szCs w:val="28"/>
        </w:rPr>
      </w:pPr>
    </w:p>
    <w:p w14:paraId="20E88A5F">
      <w:pPr>
        <w:spacing w:line="360" w:lineRule="auto"/>
        <w:rPr>
          <w:rFonts w:ascii="仿宋_GB2312" w:hAnsi="宋体" w:eastAsia="仿宋_GB2312" w:cs="Times New Roman"/>
          <w:sz w:val="28"/>
          <w:szCs w:val="28"/>
        </w:rPr>
      </w:pPr>
    </w:p>
    <w:p w14:paraId="08E53D58">
      <w:pPr>
        <w:spacing w:line="360" w:lineRule="auto"/>
        <w:rPr>
          <w:rFonts w:ascii="仿宋_GB2312" w:hAnsi="宋体" w:eastAsia="仿宋_GB2312" w:cs="Times New Roman"/>
          <w:sz w:val="28"/>
          <w:szCs w:val="28"/>
        </w:rPr>
      </w:pPr>
    </w:p>
    <w:p w14:paraId="0C3457B4">
      <w:pPr>
        <w:rPr>
          <w:rFonts w:hint="eastAsia" w:ascii="仿宋_GB2312" w:hAnsi="宋体" w:eastAsia="仿宋_GB2312" w:cs="Times New Roman"/>
          <w:sz w:val="28"/>
          <w:szCs w:val="28"/>
          <w:u w:val="single"/>
          <w:lang w:val="en-US" w:eastAsia="zh-CN"/>
        </w:rPr>
      </w:pPr>
      <w:r>
        <w:rPr>
          <w:rFonts w:hint="eastAsia" w:ascii="仿宋_GB2312" w:hAnsi="宋体" w:eastAsia="仿宋_GB2312" w:cs="Times New Roman"/>
          <w:sz w:val="28"/>
          <w:szCs w:val="28"/>
        </w:rPr>
        <w:t>签字地点：</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rPr>
        <w:t xml:space="preserve">       签字地点：</w:t>
      </w:r>
      <w:r>
        <w:rPr>
          <w:rFonts w:hint="eastAsia" w:ascii="仿宋_GB2312" w:hAnsi="宋体" w:eastAsia="仿宋_GB2312" w:cs="Times New Roman"/>
          <w:sz w:val="28"/>
          <w:szCs w:val="28"/>
          <w:u w:val="single"/>
        </w:rPr>
        <w:t xml:space="preserve">  </w:t>
      </w:r>
      <w:r>
        <w:rPr>
          <w:rFonts w:hint="eastAsia" w:ascii="仿宋_GB2312" w:hAnsi="宋体" w:eastAsia="仿宋_GB2312" w:cs="Times New Roman"/>
          <w:sz w:val="28"/>
          <w:szCs w:val="28"/>
          <w:u w:val="single"/>
          <w:lang w:val="en-US" w:eastAsia="zh-CN"/>
        </w:rPr>
        <w:t xml:space="preserve">            </w:t>
      </w:r>
    </w:p>
    <w:p w14:paraId="4DBAC14F">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0EE7D93E">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01DBA0B8">
      <w:pP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br w:type="page"/>
      </w:r>
    </w:p>
    <w:p w14:paraId="570ABD68">
      <w:pPr>
        <w:pStyle w:val="33"/>
        <w:keepNext w:val="0"/>
        <w:keepLines w:val="0"/>
        <w:pageBreakBefore w:val="0"/>
        <w:widowControl w:val="0"/>
        <w:tabs>
          <w:tab w:val="left" w:pos="6720"/>
        </w:tabs>
        <w:kinsoku/>
        <w:wordWrap/>
        <w:overflowPunct/>
        <w:topLinePunct w:val="0"/>
        <w:autoSpaceDE/>
        <w:autoSpaceDN/>
        <w:bidi w:val="0"/>
        <w:adjustRightInd/>
        <w:snapToGrid/>
        <w:spacing w:line="560" w:lineRule="exact"/>
        <w:ind w:firstLine="0" w:firstLineChars="0"/>
        <w:textAlignment w:val="auto"/>
        <w:outlineLvl w:val="1"/>
        <w:rPr>
          <w:rFonts w:hint="eastAsia" w:ascii="黑体" w:hAnsi="黑体" w:eastAsia="黑体" w:cs="黑体"/>
          <w:b w:val="0"/>
          <w:bCs/>
          <w:sz w:val="32"/>
          <w:szCs w:val="32"/>
          <w:lang w:eastAsia="zh-CN"/>
        </w:rPr>
      </w:pPr>
      <w:r>
        <w:rPr>
          <w:rFonts w:hint="eastAsia" w:ascii="黑体" w:hAnsi="黑体" w:eastAsia="黑体" w:cs="黑体"/>
          <w:b w:val="0"/>
          <w:bCs/>
          <w:sz w:val="32"/>
          <w:szCs w:val="32"/>
        </w:rPr>
        <w:t>附录1</w:t>
      </w:r>
      <w:r>
        <w:rPr>
          <w:rFonts w:hint="eastAsia" w:ascii="黑体" w:hAnsi="黑体" w:eastAsia="黑体" w:cs="黑体"/>
          <w:b w:val="0"/>
          <w:bCs/>
          <w:sz w:val="32"/>
          <w:szCs w:val="32"/>
          <w:lang w:val="en-US" w:eastAsia="zh-CN"/>
        </w:rPr>
        <w:t>0</w:t>
      </w:r>
    </w:p>
    <w:p w14:paraId="2CF13343">
      <w:pPr>
        <w:keepNext w:val="0"/>
        <w:keepLines w:val="0"/>
        <w:pageBreakBefore w:val="0"/>
        <w:widowControl w:val="0"/>
        <w:kinsoku/>
        <w:wordWrap/>
        <w:overflowPunct/>
        <w:topLinePunct w:val="0"/>
        <w:autoSpaceDE/>
        <w:autoSpaceDN/>
        <w:bidi w:val="0"/>
        <w:adjustRightInd/>
        <w:snapToGrid/>
        <w:spacing w:before="240" w:after="120" w:line="560" w:lineRule="exact"/>
        <w:jc w:val="center"/>
        <w:textAlignment w:val="auto"/>
        <w:rPr>
          <w:rFonts w:hint="eastAsia" w:ascii="方正小标宋_GBK" w:hAnsi="方正小标宋_GBK" w:eastAsia="方正小标宋_GBK" w:cs="方正小标宋_GBK"/>
          <w:sz w:val="44"/>
          <w:szCs w:val="44"/>
        </w:rPr>
      </w:pPr>
    </w:p>
    <w:p w14:paraId="7029B044">
      <w:pPr>
        <w:keepNext w:val="0"/>
        <w:keepLines w:val="0"/>
        <w:pageBreakBefore w:val="0"/>
        <w:widowControl w:val="0"/>
        <w:kinsoku/>
        <w:wordWrap/>
        <w:overflowPunct/>
        <w:topLinePunct w:val="0"/>
        <w:autoSpaceDE/>
        <w:autoSpaceDN/>
        <w:bidi w:val="0"/>
        <w:adjustRightInd/>
        <w:snapToGrid/>
        <w:spacing w:before="240" w:after="120" w:line="560" w:lineRule="exact"/>
        <w:jc w:val="center"/>
        <w:textAlignment w:val="auto"/>
        <w:rPr>
          <w:rFonts w:ascii="Times New Roman" w:hAnsi="Times New Roman" w:eastAsia="黑体" w:cs="Times New Roman"/>
          <w:b/>
          <w:sz w:val="32"/>
          <w:szCs w:val="32"/>
        </w:rPr>
      </w:pPr>
      <w:r>
        <w:rPr>
          <w:rFonts w:hint="eastAsia" w:ascii="方正小标宋_GBK" w:hAnsi="方正小标宋_GBK" w:eastAsia="方正小标宋_GBK" w:cs="方正小标宋_GBK"/>
          <w:sz w:val="44"/>
          <w:szCs w:val="44"/>
        </w:rPr>
        <w:t>虚拟电厂运营商技术支持系统检修申请单</w:t>
      </w:r>
    </w:p>
    <w:tbl>
      <w:tblPr>
        <w:tblStyle w:val="43"/>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88"/>
        <w:gridCol w:w="1280"/>
        <w:gridCol w:w="962"/>
        <w:gridCol w:w="1455"/>
        <w:gridCol w:w="1244"/>
        <w:gridCol w:w="1404"/>
      </w:tblGrid>
      <w:tr w14:paraId="320EA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1193" w:type="pct"/>
            <w:vAlign w:val="center"/>
          </w:tcPr>
          <w:p w14:paraId="774D6D02">
            <w:pPr>
              <w:pStyle w:val="42"/>
              <w:jc w:val="center"/>
              <w:rPr>
                <w:rFonts w:ascii="仿宋_GB2312" w:hAnsi="仿宋_GB2312" w:eastAsia="仿宋_GB2312" w:cs="仿宋_GB2312"/>
              </w:rPr>
            </w:pPr>
            <w:r>
              <w:rPr>
                <w:rFonts w:hint="eastAsia" w:ascii="仿宋_GB2312" w:hAnsi="仿宋_GB2312" w:eastAsia="仿宋_GB2312" w:cs="仿宋_GB2312"/>
                <w:spacing w:val="-1"/>
              </w:rPr>
              <w:t>虚拟电厂运营商全称</w:t>
            </w:r>
          </w:p>
        </w:tc>
        <w:tc>
          <w:tcPr>
            <w:tcW w:w="3806" w:type="pct"/>
            <w:gridSpan w:val="5"/>
            <w:vAlign w:val="center"/>
          </w:tcPr>
          <w:p w14:paraId="1FF12F55">
            <w:pPr>
              <w:jc w:val="center"/>
              <w:rPr>
                <w:rFonts w:ascii="仿宋_GB2312" w:hAnsi="仿宋_GB2312" w:cs="仿宋_GB2312"/>
              </w:rPr>
            </w:pPr>
          </w:p>
        </w:tc>
      </w:tr>
      <w:tr w14:paraId="0BE38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1193" w:type="pct"/>
            <w:vAlign w:val="center"/>
          </w:tcPr>
          <w:p w14:paraId="1D5384B7">
            <w:pPr>
              <w:pStyle w:val="42"/>
              <w:jc w:val="center"/>
              <w:rPr>
                <w:rFonts w:ascii="仿宋_GB2312" w:hAnsi="仿宋_GB2312" w:eastAsia="仿宋_GB2312" w:cs="仿宋_GB2312"/>
              </w:rPr>
            </w:pPr>
            <w:r>
              <w:rPr>
                <w:rFonts w:hint="eastAsia" w:ascii="仿宋_GB2312" w:hAnsi="仿宋_GB2312" w:eastAsia="仿宋_GB2312" w:cs="仿宋_GB2312"/>
                <w:spacing w:val="3"/>
              </w:rPr>
              <w:t>工作开始时间</w:t>
            </w:r>
          </w:p>
        </w:tc>
        <w:tc>
          <w:tcPr>
            <w:tcW w:w="1345" w:type="pct"/>
            <w:gridSpan w:val="2"/>
            <w:vAlign w:val="center"/>
          </w:tcPr>
          <w:p w14:paraId="0575D16E">
            <w:pPr>
              <w:jc w:val="center"/>
              <w:rPr>
                <w:rFonts w:ascii="仿宋_GB2312" w:hAnsi="仿宋_GB2312" w:cs="仿宋_GB2312"/>
              </w:rPr>
            </w:pPr>
          </w:p>
        </w:tc>
        <w:tc>
          <w:tcPr>
            <w:tcW w:w="873" w:type="pct"/>
            <w:vAlign w:val="center"/>
          </w:tcPr>
          <w:p w14:paraId="6069602B">
            <w:pPr>
              <w:pStyle w:val="42"/>
              <w:ind w:right="31"/>
              <w:jc w:val="center"/>
              <w:rPr>
                <w:rFonts w:ascii="仿宋_GB2312" w:hAnsi="仿宋_GB2312" w:eastAsia="仿宋_GB2312" w:cs="仿宋_GB2312"/>
              </w:rPr>
            </w:pPr>
            <w:r>
              <w:rPr>
                <w:rFonts w:hint="eastAsia" w:ascii="仿宋_GB2312" w:hAnsi="仿宋_GB2312" w:eastAsia="仿宋_GB2312" w:cs="仿宋_GB2312"/>
                <w:spacing w:val="2"/>
              </w:rPr>
              <w:t>工作结束时</w:t>
            </w:r>
            <w:r>
              <w:rPr>
                <w:rFonts w:hint="eastAsia" w:ascii="仿宋_GB2312" w:hAnsi="仿宋_GB2312" w:eastAsia="仿宋_GB2312" w:cs="仿宋_GB2312"/>
              </w:rPr>
              <w:t>间</w:t>
            </w:r>
          </w:p>
        </w:tc>
        <w:tc>
          <w:tcPr>
            <w:tcW w:w="1588" w:type="pct"/>
            <w:gridSpan w:val="2"/>
            <w:vAlign w:val="center"/>
          </w:tcPr>
          <w:p w14:paraId="0B3F4C93">
            <w:pPr>
              <w:jc w:val="center"/>
              <w:rPr>
                <w:rFonts w:ascii="仿宋_GB2312" w:hAnsi="仿宋_GB2312" w:cs="仿宋_GB2312"/>
              </w:rPr>
            </w:pPr>
          </w:p>
        </w:tc>
      </w:tr>
      <w:tr w14:paraId="343FA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4" w:hRule="atLeast"/>
        </w:trPr>
        <w:tc>
          <w:tcPr>
            <w:tcW w:w="1193" w:type="pct"/>
            <w:vAlign w:val="center"/>
          </w:tcPr>
          <w:p w14:paraId="60B598E6">
            <w:pPr>
              <w:pStyle w:val="42"/>
              <w:jc w:val="center"/>
              <w:rPr>
                <w:rFonts w:ascii="仿宋_GB2312" w:hAnsi="仿宋_GB2312" w:eastAsia="仿宋_GB2312" w:cs="仿宋_GB2312"/>
              </w:rPr>
            </w:pPr>
            <w:r>
              <w:rPr>
                <w:rFonts w:hint="eastAsia" w:ascii="仿宋_GB2312" w:hAnsi="仿宋_GB2312" w:eastAsia="仿宋_GB2312" w:cs="仿宋_GB2312"/>
                <w:spacing w:val="-2"/>
              </w:rPr>
              <w:t>工作内容</w:t>
            </w:r>
          </w:p>
        </w:tc>
        <w:tc>
          <w:tcPr>
            <w:tcW w:w="3806" w:type="pct"/>
            <w:gridSpan w:val="5"/>
            <w:vAlign w:val="center"/>
          </w:tcPr>
          <w:p w14:paraId="21D61B37">
            <w:pPr>
              <w:jc w:val="center"/>
              <w:rPr>
                <w:rFonts w:ascii="仿宋_GB2312" w:hAnsi="仿宋_GB2312" w:cs="仿宋_GB2312"/>
              </w:rPr>
            </w:pPr>
          </w:p>
        </w:tc>
      </w:tr>
      <w:tr w14:paraId="2AB1C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1193" w:type="pct"/>
            <w:vAlign w:val="center"/>
          </w:tcPr>
          <w:p w14:paraId="173F32A8">
            <w:pPr>
              <w:pStyle w:val="42"/>
              <w:jc w:val="center"/>
              <w:rPr>
                <w:rFonts w:ascii="仿宋_GB2312" w:hAnsi="仿宋_GB2312" w:eastAsia="仿宋_GB2312" w:cs="仿宋_GB2312"/>
              </w:rPr>
            </w:pPr>
            <w:r>
              <w:rPr>
                <w:rFonts w:hint="eastAsia" w:ascii="仿宋_GB2312" w:hAnsi="仿宋_GB2312" w:eastAsia="仿宋_GB2312" w:cs="仿宋_GB2312"/>
                <w:spacing w:val="-2"/>
              </w:rPr>
              <w:t>工作步骤</w:t>
            </w:r>
          </w:p>
        </w:tc>
        <w:tc>
          <w:tcPr>
            <w:tcW w:w="3806" w:type="pct"/>
            <w:gridSpan w:val="5"/>
            <w:vAlign w:val="center"/>
          </w:tcPr>
          <w:p w14:paraId="63D5769A">
            <w:pPr>
              <w:jc w:val="center"/>
              <w:rPr>
                <w:rFonts w:ascii="仿宋_GB2312" w:hAnsi="仿宋_GB2312" w:cs="仿宋_GB2312"/>
              </w:rPr>
            </w:pPr>
          </w:p>
        </w:tc>
      </w:tr>
      <w:tr w14:paraId="35A00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193" w:type="pct"/>
            <w:vAlign w:val="center"/>
          </w:tcPr>
          <w:p w14:paraId="4AC9C701">
            <w:pPr>
              <w:pStyle w:val="42"/>
              <w:ind w:right="154"/>
              <w:jc w:val="center"/>
              <w:rPr>
                <w:rFonts w:ascii="仿宋_GB2312" w:hAnsi="仿宋_GB2312" w:eastAsia="仿宋_GB2312" w:cs="仿宋_GB2312"/>
                <w:lang w:eastAsia="zh-CN"/>
              </w:rPr>
            </w:pPr>
            <w:r>
              <w:rPr>
                <w:rFonts w:hint="eastAsia" w:ascii="仿宋_GB2312" w:hAnsi="仿宋_GB2312" w:eastAsia="仿宋_GB2312" w:cs="仿宋_GB2312"/>
                <w:spacing w:val="-1"/>
                <w:lang w:eastAsia="zh-CN"/>
              </w:rPr>
              <w:t>对业务影响及安全措</w:t>
            </w:r>
            <w:r>
              <w:rPr>
                <w:rFonts w:hint="eastAsia" w:ascii="仿宋_GB2312" w:hAnsi="仿宋_GB2312" w:eastAsia="仿宋_GB2312" w:cs="仿宋_GB2312"/>
                <w:spacing w:val="1"/>
                <w:lang w:eastAsia="zh-CN"/>
              </w:rPr>
              <w:t xml:space="preserve"> </w:t>
            </w:r>
            <w:r>
              <w:rPr>
                <w:rFonts w:hint="eastAsia" w:ascii="仿宋_GB2312" w:hAnsi="仿宋_GB2312" w:eastAsia="仿宋_GB2312" w:cs="仿宋_GB2312"/>
                <w:spacing w:val="-2"/>
                <w:lang w:eastAsia="zh-CN"/>
              </w:rPr>
              <w:t>施预案</w:t>
            </w:r>
          </w:p>
        </w:tc>
        <w:tc>
          <w:tcPr>
            <w:tcW w:w="3806" w:type="pct"/>
            <w:gridSpan w:val="5"/>
            <w:vAlign w:val="center"/>
          </w:tcPr>
          <w:p w14:paraId="20E0AB9B">
            <w:pPr>
              <w:pStyle w:val="42"/>
              <w:jc w:val="center"/>
              <w:rPr>
                <w:rFonts w:ascii="仿宋_GB2312" w:hAnsi="仿宋_GB2312" w:eastAsia="仿宋_GB2312" w:cs="仿宋_GB2312"/>
                <w:lang w:eastAsia="zh-CN"/>
              </w:rPr>
            </w:pPr>
            <w:r>
              <w:rPr>
                <w:rFonts w:hint="eastAsia" w:ascii="仿宋_GB2312" w:hAnsi="仿宋_GB2312" w:eastAsia="仿宋_GB2312" w:cs="仿宋_GB2312"/>
                <w:spacing w:val="-1"/>
                <w:lang w:eastAsia="zh-CN"/>
              </w:rPr>
              <w:t>单一页无法说明，可将技术预案作为附页材料</w:t>
            </w:r>
          </w:p>
        </w:tc>
      </w:tr>
      <w:tr w14:paraId="56D93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193" w:type="pct"/>
            <w:vAlign w:val="center"/>
          </w:tcPr>
          <w:p w14:paraId="17BA1545">
            <w:pPr>
              <w:pStyle w:val="42"/>
              <w:jc w:val="center"/>
              <w:rPr>
                <w:rFonts w:ascii="仿宋_GB2312" w:hAnsi="仿宋_GB2312" w:eastAsia="仿宋_GB2312" w:cs="仿宋_GB2312"/>
              </w:rPr>
            </w:pPr>
            <w:r>
              <w:rPr>
                <w:rFonts w:hint="eastAsia" w:ascii="仿宋_GB2312" w:hAnsi="仿宋_GB2312" w:eastAsia="仿宋_GB2312" w:cs="仿宋_GB2312"/>
                <w:spacing w:val="2"/>
              </w:rPr>
              <w:t>申请人</w:t>
            </w:r>
          </w:p>
        </w:tc>
        <w:tc>
          <w:tcPr>
            <w:tcW w:w="768" w:type="pct"/>
            <w:vAlign w:val="center"/>
          </w:tcPr>
          <w:p w14:paraId="3B56B75F">
            <w:pPr>
              <w:jc w:val="center"/>
              <w:rPr>
                <w:rFonts w:ascii="仿宋_GB2312" w:hAnsi="仿宋_GB2312" w:cs="仿宋_GB2312"/>
              </w:rPr>
            </w:pPr>
          </w:p>
        </w:tc>
        <w:tc>
          <w:tcPr>
            <w:tcW w:w="576" w:type="pct"/>
            <w:vAlign w:val="center"/>
          </w:tcPr>
          <w:p w14:paraId="5EBE80A4">
            <w:pPr>
              <w:pStyle w:val="42"/>
              <w:jc w:val="center"/>
              <w:rPr>
                <w:rFonts w:ascii="仿宋_GB2312" w:hAnsi="仿宋_GB2312" w:eastAsia="仿宋_GB2312" w:cs="仿宋_GB2312"/>
              </w:rPr>
            </w:pPr>
            <w:r>
              <w:rPr>
                <w:rFonts w:hint="eastAsia" w:ascii="仿宋_GB2312" w:hAnsi="仿宋_GB2312" w:eastAsia="仿宋_GB2312" w:cs="仿宋_GB2312"/>
                <w:spacing w:val="-2"/>
              </w:rPr>
              <w:t>联系电话</w:t>
            </w:r>
          </w:p>
        </w:tc>
        <w:tc>
          <w:tcPr>
            <w:tcW w:w="873" w:type="pct"/>
            <w:vAlign w:val="center"/>
          </w:tcPr>
          <w:p w14:paraId="302D8A69">
            <w:pPr>
              <w:jc w:val="center"/>
              <w:rPr>
                <w:rFonts w:ascii="仿宋_GB2312" w:hAnsi="仿宋_GB2312" w:cs="仿宋_GB2312"/>
              </w:rPr>
            </w:pPr>
          </w:p>
        </w:tc>
        <w:tc>
          <w:tcPr>
            <w:tcW w:w="746" w:type="pct"/>
            <w:vAlign w:val="center"/>
          </w:tcPr>
          <w:p w14:paraId="1AC28EE5">
            <w:pPr>
              <w:pStyle w:val="42"/>
              <w:jc w:val="center"/>
              <w:rPr>
                <w:rFonts w:ascii="仿宋_GB2312" w:hAnsi="仿宋_GB2312" w:eastAsia="仿宋_GB2312" w:cs="仿宋_GB2312"/>
              </w:rPr>
            </w:pPr>
            <w:r>
              <w:rPr>
                <w:rFonts w:hint="eastAsia" w:ascii="仿宋_GB2312" w:hAnsi="仿宋_GB2312" w:eastAsia="仿宋_GB2312" w:cs="仿宋_GB2312"/>
                <w:spacing w:val="4"/>
              </w:rPr>
              <w:t>申请时间</w:t>
            </w:r>
          </w:p>
        </w:tc>
        <w:tc>
          <w:tcPr>
            <w:tcW w:w="842" w:type="pct"/>
            <w:vAlign w:val="center"/>
          </w:tcPr>
          <w:p w14:paraId="45E0C4C9">
            <w:pPr>
              <w:jc w:val="center"/>
              <w:rPr>
                <w:rFonts w:ascii="仿宋_GB2312" w:hAnsi="仿宋_GB2312" w:cs="仿宋_GB2312"/>
              </w:rPr>
            </w:pPr>
          </w:p>
        </w:tc>
      </w:tr>
    </w:tbl>
    <w:p w14:paraId="70370A1D">
      <w:pPr>
        <w:rPr>
          <w:rFonts w:ascii="Times New Roman" w:hAnsi="Times New Roman" w:eastAsia="黑体" w:cs="Times New Roman"/>
          <w:b/>
          <w:sz w:val="32"/>
          <w:szCs w:val="32"/>
        </w:rPr>
      </w:pPr>
      <w:r>
        <w:rPr>
          <w:rFonts w:ascii="Times New Roman" w:hAnsi="Times New Roman" w:eastAsia="黑体" w:cs="Times New Roman"/>
          <w:b/>
          <w:sz w:val="32"/>
          <w:szCs w:val="32"/>
        </w:rPr>
        <w:br w:type="page"/>
      </w:r>
    </w:p>
    <w:p w14:paraId="06CA187F">
      <w:pPr>
        <w:pStyle w:val="33"/>
        <w:tabs>
          <w:tab w:val="left" w:pos="6720"/>
        </w:tabs>
        <w:spacing w:line="560" w:lineRule="exact"/>
        <w:ind w:firstLine="0" w:firstLineChars="0"/>
        <w:outlineLvl w:val="1"/>
        <w:rPr>
          <w:rFonts w:hint="eastAsia" w:ascii="黑体" w:hAnsi="黑体" w:eastAsia="黑体" w:cs="黑体"/>
          <w:b w:val="0"/>
          <w:bCs/>
          <w:sz w:val="32"/>
          <w:szCs w:val="32"/>
          <w:lang w:val="en-US" w:eastAsia="zh-CN"/>
        </w:rPr>
      </w:pPr>
      <w:r>
        <w:rPr>
          <w:rFonts w:hint="eastAsia" w:ascii="黑体" w:hAnsi="黑体" w:eastAsia="黑体" w:cs="黑体"/>
          <w:b w:val="0"/>
          <w:bCs/>
          <w:sz w:val="32"/>
          <w:szCs w:val="32"/>
        </w:rPr>
        <w:t>附录1</w:t>
      </w:r>
      <w:r>
        <w:rPr>
          <w:rFonts w:hint="eastAsia" w:ascii="黑体" w:hAnsi="黑体" w:eastAsia="黑体" w:cs="黑体"/>
          <w:b w:val="0"/>
          <w:bCs/>
          <w:sz w:val="32"/>
          <w:szCs w:val="32"/>
          <w:lang w:val="en-US" w:eastAsia="zh-CN"/>
        </w:rPr>
        <w:t>1</w:t>
      </w:r>
    </w:p>
    <w:p w14:paraId="254384EC">
      <w:pPr>
        <w:jc w:val="center"/>
        <w:rPr>
          <w:rFonts w:hint="eastAsia" w:ascii="仿宋_GB2312" w:hAnsi="仿宋_GB2312" w:eastAsia="仿宋_GB2312" w:cs="仿宋_GB2312"/>
          <w:b/>
          <w:bCs/>
          <w:sz w:val="32"/>
          <w:szCs w:val="32"/>
        </w:rPr>
      </w:pPr>
    </w:p>
    <w:p w14:paraId="15B5FEEB">
      <w:pPr>
        <w:keepNext w:val="0"/>
        <w:keepLines w:val="0"/>
        <w:pageBreakBefore w:val="0"/>
        <w:widowControl w:val="0"/>
        <w:kinsoku/>
        <w:wordWrap/>
        <w:overflowPunct/>
        <w:topLinePunct w:val="0"/>
        <w:autoSpaceDE/>
        <w:autoSpaceDN/>
        <w:bidi w:val="0"/>
        <w:adjustRightInd/>
        <w:snapToGrid/>
        <w:spacing w:before="240" w:after="120"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参数取值（试行）</w:t>
      </w:r>
    </w:p>
    <w:p w14:paraId="15BD603B">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表1</w:t>
      </w:r>
      <w:r>
        <w:rPr>
          <w:rFonts w:hint="eastAsia" w:ascii="仿宋_GB2312" w:hAnsi="仿宋_GB2312" w:eastAsia="仿宋_GB2312" w:cs="仿宋_GB2312"/>
          <w:b/>
          <w:bCs/>
          <w:sz w:val="28"/>
          <w:szCs w:val="28"/>
          <w:lang w:val="en-US" w:eastAsia="zh-CN"/>
        </w:rPr>
        <w:t>1.</w:t>
      </w:r>
      <w:r>
        <w:rPr>
          <w:rFonts w:hint="eastAsia" w:ascii="仿宋_GB2312" w:hAnsi="仿宋_GB2312" w:eastAsia="仿宋_GB2312" w:cs="仿宋_GB2312"/>
          <w:b/>
          <w:bCs/>
          <w:sz w:val="28"/>
          <w:szCs w:val="28"/>
        </w:rPr>
        <w:t xml:space="preserve">1 </w:t>
      </w:r>
      <w:r>
        <w:rPr>
          <w:rFonts w:hint="eastAsia" w:ascii="仿宋_GB2312" w:hAnsi="仿宋_GB2312" w:eastAsia="仿宋_GB2312" w:cs="仿宋_GB2312"/>
          <w:b/>
          <w:bCs/>
          <w:sz w:val="28"/>
          <w:szCs w:val="28"/>
          <w:lang w:val="en-US" w:eastAsia="zh-CN"/>
        </w:rPr>
        <w:t>基本</w:t>
      </w:r>
      <w:r>
        <w:rPr>
          <w:rFonts w:hint="eastAsia" w:ascii="仿宋_GB2312" w:hAnsi="仿宋_GB2312" w:eastAsia="仿宋_GB2312" w:cs="仿宋_GB2312"/>
          <w:b/>
          <w:bCs/>
          <w:sz w:val="28"/>
          <w:szCs w:val="28"/>
        </w:rPr>
        <w:t>参数</w:t>
      </w:r>
    </w:p>
    <w:tbl>
      <w:tblPr>
        <w:tblStyle w:val="20"/>
        <w:tblW w:w="8359" w:type="dxa"/>
        <w:tblInd w:w="98" w:type="dxa"/>
        <w:tblLayout w:type="autofit"/>
        <w:tblCellMar>
          <w:top w:w="0" w:type="dxa"/>
          <w:left w:w="108" w:type="dxa"/>
          <w:bottom w:w="0" w:type="dxa"/>
          <w:right w:w="108" w:type="dxa"/>
        </w:tblCellMar>
      </w:tblPr>
      <w:tblGrid>
        <w:gridCol w:w="2547"/>
        <w:gridCol w:w="1930"/>
        <w:gridCol w:w="1941"/>
        <w:gridCol w:w="1941"/>
      </w:tblGrid>
      <w:tr w14:paraId="399A8135">
        <w:tblPrEx>
          <w:tblCellMar>
            <w:top w:w="0" w:type="dxa"/>
            <w:left w:w="108" w:type="dxa"/>
            <w:bottom w:w="0" w:type="dxa"/>
            <w:right w:w="108" w:type="dxa"/>
          </w:tblCellMar>
        </w:tblPrEx>
        <w:trPr>
          <w:trHeight w:val="587" w:hRule="atLeast"/>
        </w:trPr>
        <w:tc>
          <w:tcPr>
            <w:tcW w:w="2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F0E2">
            <w:pPr>
              <w:widowControl/>
              <w:adjustRightInd w:val="0"/>
              <w:snapToGrid w:val="0"/>
              <w:jc w:val="center"/>
              <w:textAlignment w:val="center"/>
              <w:rPr>
                <w:rFonts w:ascii="仿宋_GB2312" w:hAnsi="仿宋_GB2312" w:eastAsia="仿宋_GB2312" w:cs="仿宋_GB2312"/>
                <w:b/>
                <w:bCs/>
                <w:color w:val="000000"/>
                <w:sz w:val="20"/>
                <w:szCs w:val="20"/>
              </w:rPr>
            </w:pPr>
            <w:r>
              <w:rPr>
                <w:rFonts w:hint="eastAsia" w:ascii="仿宋_GB2312" w:hAnsi="仿宋_GB2312" w:eastAsia="仿宋_GB2312" w:cs="仿宋_GB2312"/>
                <w:b/>
                <w:bCs/>
                <w:color w:val="000000"/>
                <w:kern w:val="0"/>
                <w:sz w:val="20"/>
                <w:szCs w:val="20"/>
                <w:lang w:bidi="ar"/>
              </w:rPr>
              <w:t>参数类型</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76FD">
            <w:pPr>
              <w:widowControl/>
              <w:adjustRightInd w:val="0"/>
              <w:snapToGrid w:val="0"/>
              <w:jc w:val="center"/>
              <w:textAlignment w:val="center"/>
              <w:rPr>
                <w:rFonts w:ascii="仿宋_GB2312" w:hAnsi="仿宋_GB2312" w:eastAsia="仿宋_GB2312" w:cs="仿宋_GB2312"/>
                <w:b/>
                <w:bCs/>
                <w:color w:val="000000"/>
                <w:sz w:val="20"/>
                <w:szCs w:val="20"/>
              </w:rPr>
            </w:pPr>
            <w:r>
              <w:rPr>
                <w:rFonts w:hint="eastAsia" w:ascii="仿宋_GB2312" w:hAnsi="仿宋_GB2312" w:eastAsia="仿宋_GB2312" w:cs="仿宋_GB2312"/>
                <w:b/>
                <w:bCs/>
                <w:color w:val="000000"/>
                <w:kern w:val="0"/>
                <w:sz w:val="20"/>
                <w:szCs w:val="20"/>
                <w:lang w:bidi="ar"/>
              </w:rPr>
              <w:t>管理办法中对应的符号</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E735">
            <w:pPr>
              <w:widowControl/>
              <w:adjustRightInd w:val="0"/>
              <w:snapToGrid w:val="0"/>
              <w:jc w:val="center"/>
              <w:textAlignment w:val="center"/>
              <w:rPr>
                <w:rFonts w:ascii="仿宋_GB2312" w:hAnsi="仿宋_GB2312" w:eastAsia="仿宋_GB2312" w:cs="仿宋_GB2312"/>
                <w:b/>
                <w:bCs/>
                <w:color w:val="000000"/>
                <w:sz w:val="20"/>
                <w:szCs w:val="20"/>
              </w:rPr>
            </w:pPr>
            <w:r>
              <w:rPr>
                <w:rFonts w:hint="eastAsia" w:ascii="仿宋_GB2312" w:hAnsi="仿宋_GB2312" w:eastAsia="仿宋_GB2312" w:cs="仿宋_GB2312"/>
                <w:b/>
                <w:bCs/>
                <w:color w:val="000000"/>
                <w:kern w:val="0"/>
                <w:sz w:val="20"/>
                <w:szCs w:val="20"/>
                <w:lang w:bidi="ar"/>
              </w:rPr>
              <w:t>单位</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3266">
            <w:pPr>
              <w:widowControl/>
              <w:adjustRightInd w:val="0"/>
              <w:snapToGrid w:val="0"/>
              <w:jc w:val="center"/>
              <w:textAlignment w:val="center"/>
              <w:rPr>
                <w:rFonts w:ascii="仿宋_GB2312" w:hAnsi="仿宋_GB2312" w:eastAsia="仿宋_GB2312" w:cs="仿宋_GB2312"/>
                <w:b/>
                <w:bCs/>
                <w:color w:val="000000"/>
                <w:sz w:val="20"/>
                <w:szCs w:val="20"/>
              </w:rPr>
            </w:pPr>
            <w:r>
              <w:rPr>
                <w:rFonts w:hint="eastAsia" w:ascii="仿宋_GB2312" w:hAnsi="仿宋_GB2312" w:eastAsia="仿宋_GB2312" w:cs="仿宋_GB2312"/>
                <w:b/>
                <w:bCs/>
                <w:color w:val="000000"/>
                <w:kern w:val="0"/>
                <w:sz w:val="20"/>
                <w:szCs w:val="20"/>
                <w:lang w:bidi="ar"/>
              </w:rPr>
              <w:t>参数取值</w:t>
            </w:r>
          </w:p>
        </w:tc>
      </w:tr>
      <w:tr w14:paraId="52B7325F">
        <w:tblPrEx>
          <w:tblCellMar>
            <w:top w:w="0" w:type="dxa"/>
            <w:left w:w="108" w:type="dxa"/>
            <w:bottom w:w="0" w:type="dxa"/>
            <w:right w:w="108" w:type="dxa"/>
          </w:tblCellMar>
        </w:tblPrEx>
        <w:trPr>
          <w:trHeight w:val="294" w:hRule="atLeast"/>
        </w:trPr>
        <w:tc>
          <w:tcPr>
            <w:tcW w:w="2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F890">
            <w:pPr>
              <w:widowControl/>
              <w:adjustRightInd w:val="0"/>
              <w:snapToGrid w:val="0"/>
              <w:jc w:val="center"/>
              <w:textAlignment w:val="center"/>
              <w:rPr>
                <w:rFonts w:ascii="仿宋_GB2312" w:hAnsi="仿宋_GB2312" w:eastAsia="仿宋_GB2312" w:cs="仿宋_GB2312"/>
                <w:color w:val="000000"/>
                <w:sz w:val="22"/>
              </w:rPr>
            </w:pPr>
            <w:r>
              <w:rPr>
                <w:rFonts w:hint="eastAsia" w:ascii="仿宋_GB2312" w:hAnsi="仿宋_GB2312" w:eastAsia="仿宋_GB2312" w:cs="仿宋_GB2312"/>
                <w:color w:val="000000"/>
                <w:kern w:val="0"/>
                <w:sz w:val="22"/>
                <w:lang w:bidi="ar"/>
              </w:rPr>
              <w:t>用户响应调节能力</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4C7C">
            <w:pPr>
              <w:widowControl/>
              <w:adjustRightInd w:val="0"/>
              <w:snapToGrid w:val="0"/>
              <w:jc w:val="center"/>
              <w:rPr>
                <w:rFonts w:ascii="仿宋_GB2312" w:hAnsi="仿宋_GB2312" w:eastAsia="仿宋_GB2312" w:cs="仿宋_GB2312"/>
                <w:color w:val="000000"/>
                <w:sz w:val="30"/>
                <w:szCs w:val="30"/>
              </w:rPr>
            </w:pPr>
            <w:r>
              <w:rPr>
                <w:rFonts w:hint="eastAsia" w:ascii="仿宋_GB2312" w:hAnsi="仿宋_GB2312" w:eastAsia="仿宋_GB2312" w:cs="仿宋_GB2312"/>
                <w:sz w:val="30"/>
                <w:szCs w:val="30"/>
              </w:rPr>
              <w:t>P</w:t>
            </w:r>
            <w:r>
              <w:rPr>
                <w:rFonts w:hint="eastAsia" w:ascii="仿宋_GB2312" w:hAnsi="仿宋_GB2312" w:eastAsia="仿宋_GB2312" w:cs="仿宋_GB2312"/>
                <w:sz w:val="30"/>
                <w:szCs w:val="30"/>
                <w:vertAlign w:val="subscript"/>
              </w:rPr>
              <w:t>1</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0289">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MW</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766E">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0.2</w:t>
            </w:r>
          </w:p>
        </w:tc>
      </w:tr>
      <w:tr w14:paraId="0C79B4A6">
        <w:tblPrEx>
          <w:tblCellMar>
            <w:top w:w="0" w:type="dxa"/>
            <w:left w:w="108" w:type="dxa"/>
            <w:bottom w:w="0" w:type="dxa"/>
            <w:right w:w="108" w:type="dxa"/>
          </w:tblCellMar>
        </w:tblPrEx>
        <w:trPr>
          <w:trHeight w:val="90" w:hRule="atLeast"/>
        </w:trPr>
        <w:tc>
          <w:tcPr>
            <w:tcW w:w="2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3922">
            <w:pPr>
              <w:widowControl/>
              <w:adjustRightInd w:val="0"/>
              <w:snapToGrid w:val="0"/>
              <w:jc w:val="center"/>
              <w:textAlignment w:val="center"/>
              <w:rPr>
                <w:rFonts w:ascii="仿宋_GB2312" w:hAnsi="仿宋_GB2312" w:eastAsia="仿宋_GB2312" w:cs="仿宋_GB2312"/>
                <w:color w:val="000000"/>
                <w:sz w:val="22"/>
              </w:rPr>
            </w:pPr>
            <w:r>
              <w:rPr>
                <w:rFonts w:hint="eastAsia" w:ascii="仿宋_GB2312" w:hAnsi="仿宋_GB2312" w:eastAsia="仿宋_GB2312" w:cs="仿宋_GB2312"/>
                <w:color w:val="000000"/>
                <w:kern w:val="0"/>
                <w:sz w:val="22"/>
                <w:lang w:bidi="ar"/>
              </w:rPr>
              <w:t>用户持续响应时长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3647">
            <w:pPr>
              <w:widowControl/>
              <w:adjustRightInd w:val="0"/>
              <w:snapToGrid w:val="0"/>
              <w:jc w:val="center"/>
              <w:textAlignment w:val="center"/>
              <w:rPr>
                <w:rFonts w:ascii="仿宋_GB2312" w:hAnsi="仿宋_GB2312" w:eastAsia="仿宋_GB2312" w:cs="仿宋_GB2312"/>
                <w:color w:val="000000"/>
                <w:sz w:val="30"/>
                <w:szCs w:val="30"/>
              </w:rPr>
            </w:pPr>
            <w:r>
              <w:rPr>
                <w:rFonts w:hint="eastAsia" w:ascii="仿宋_GB2312" w:hAnsi="仿宋_GB2312" w:eastAsia="仿宋_GB2312" w:cs="仿宋_GB2312"/>
                <w:sz w:val="30"/>
                <w:szCs w:val="30"/>
              </w:rPr>
              <w:t>T</w:t>
            </w:r>
            <w:r>
              <w:rPr>
                <w:rFonts w:hint="eastAsia" w:ascii="仿宋_GB2312" w:hAnsi="仿宋_GB2312" w:eastAsia="仿宋_GB2312" w:cs="仿宋_GB2312"/>
                <w:sz w:val="30"/>
                <w:szCs w:val="30"/>
                <w:vertAlign w:val="subscript"/>
              </w:rPr>
              <w:t>1</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96B6">
            <w:pPr>
              <w:widowControl/>
              <w:adjustRightInd w:val="0"/>
              <w:snapToGrid w:val="0"/>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分钟</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009E">
            <w:pPr>
              <w:widowControl/>
              <w:adjustRightInd w:val="0"/>
              <w:snapToGrid w:val="0"/>
              <w:jc w:val="center"/>
              <w:textAlignment w:val="center"/>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30</w:t>
            </w:r>
          </w:p>
        </w:tc>
      </w:tr>
      <w:tr w14:paraId="29EE8704">
        <w:tblPrEx>
          <w:tblCellMar>
            <w:top w:w="0" w:type="dxa"/>
            <w:left w:w="108" w:type="dxa"/>
            <w:bottom w:w="0" w:type="dxa"/>
            <w:right w:w="108" w:type="dxa"/>
          </w:tblCellMar>
        </w:tblPrEx>
        <w:trPr>
          <w:trHeight w:val="577" w:hRule="atLeast"/>
        </w:trPr>
        <w:tc>
          <w:tcPr>
            <w:tcW w:w="2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9C81">
            <w:pPr>
              <w:widowControl/>
              <w:adjustRightInd w:val="0"/>
              <w:snapToGrid w:val="0"/>
              <w:jc w:val="center"/>
              <w:textAlignment w:val="center"/>
              <w:rPr>
                <w:rFonts w:ascii="仿宋_GB2312" w:hAnsi="仿宋_GB2312" w:eastAsia="仿宋_GB2312" w:cs="仿宋_GB2312"/>
                <w:color w:val="000000"/>
                <w:sz w:val="22"/>
              </w:rPr>
            </w:pPr>
            <w:r>
              <w:rPr>
                <w:rFonts w:hint="eastAsia" w:ascii="仿宋_GB2312" w:hAnsi="仿宋_GB2312" w:eastAsia="仿宋_GB2312" w:cs="仿宋_GB2312"/>
                <w:color w:val="000000"/>
                <w:kern w:val="0"/>
                <w:sz w:val="22"/>
                <w:lang w:bidi="ar"/>
              </w:rPr>
              <w:t>虚拟电厂运营商响应调节能力</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32FD">
            <w:pPr>
              <w:widowControl/>
              <w:adjustRightInd w:val="0"/>
              <w:snapToGrid w:val="0"/>
              <w:jc w:val="center"/>
              <w:rPr>
                <w:rFonts w:ascii="仿宋_GB2312" w:hAnsi="仿宋_GB2312" w:eastAsia="仿宋_GB2312" w:cs="仿宋_GB2312"/>
                <w:color w:val="000000"/>
                <w:sz w:val="30"/>
                <w:szCs w:val="30"/>
              </w:rPr>
            </w:pPr>
            <w:r>
              <w:rPr>
                <w:rFonts w:hint="eastAsia" w:ascii="仿宋_GB2312" w:hAnsi="仿宋_GB2312" w:eastAsia="仿宋_GB2312" w:cs="仿宋_GB2312"/>
                <w:sz w:val="30"/>
                <w:szCs w:val="30"/>
              </w:rPr>
              <w:t>P</w:t>
            </w:r>
            <w:r>
              <w:rPr>
                <w:rFonts w:hint="eastAsia" w:ascii="仿宋_GB2312" w:hAnsi="仿宋_GB2312" w:eastAsia="仿宋_GB2312" w:cs="仿宋_GB2312"/>
                <w:sz w:val="30"/>
                <w:szCs w:val="30"/>
                <w:vertAlign w:val="subscript"/>
              </w:rPr>
              <w:t>2</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EE6C">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MW</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5571">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w:t>
            </w:r>
          </w:p>
        </w:tc>
      </w:tr>
      <w:tr w14:paraId="6A00FFDF">
        <w:tblPrEx>
          <w:tblCellMar>
            <w:top w:w="0" w:type="dxa"/>
            <w:left w:w="108" w:type="dxa"/>
            <w:bottom w:w="0" w:type="dxa"/>
            <w:right w:w="108" w:type="dxa"/>
          </w:tblCellMar>
        </w:tblPrEx>
        <w:trPr>
          <w:trHeight w:val="577" w:hRule="atLeast"/>
        </w:trPr>
        <w:tc>
          <w:tcPr>
            <w:tcW w:w="2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A473">
            <w:pPr>
              <w:widowControl/>
              <w:adjustRightInd w:val="0"/>
              <w:snapToGrid w:val="0"/>
              <w:jc w:val="center"/>
              <w:textAlignment w:val="center"/>
              <w:rPr>
                <w:rFonts w:ascii="仿宋_GB2312" w:hAnsi="仿宋_GB2312" w:eastAsia="仿宋_GB2312" w:cs="仿宋_GB2312"/>
                <w:color w:val="000000"/>
                <w:sz w:val="22"/>
              </w:rPr>
            </w:pPr>
            <w:r>
              <w:rPr>
                <w:rFonts w:hint="eastAsia" w:ascii="仿宋_GB2312" w:hAnsi="仿宋_GB2312" w:eastAsia="仿宋_GB2312" w:cs="仿宋_GB2312"/>
                <w:color w:val="000000"/>
                <w:kern w:val="0"/>
                <w:sz w:val="22"/>
                <w:lang w:bidi="ar"/>
              </w:rPr>
              <w:t>虚拟电厂运营商持续响应时长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07CF">
            <w:pPr>
              <w:widowControl/>
              <w:adjustRightInd w:val="0"/>
              <w:snapToGrid w:val="0"/>
              <w:jc w:val="center"/>
              <w:textAlignment w:val="center"/>
              <w:rPr>
                <w:rFonts w:ascii="仿宋_GB2312" w:hAnsi="仿宋_GB2312" w:eastAsia="仿宋_GB2312" w:cs="仿宋_GB2312"/>
                <w:color w:val="000000"/>
                <w:sz w:val="30"/>
                <w:szCs w:val="30"/>
              </w:rPr>
            </w:pPr>
            <w:r>
              <w:rPr>
                <w:rFonts w:hint="eastAsia" w:ascii="仿宋_GB2312" w:hAnsi="仿宋_GB2312" w:eastAsia="仿宋_GB2312" w:cs="仿宋_GB2312"/>
                <w:sz w:val="30"/>
                <w:szCs w:val="30"/>
              </w:rPr>
              <w:t>T</w:t>
            </w:r>
            <w:r>
              <w:rPr>
                <w:rFonts w:hint="eastAsia" w:ascii="仿宋_GB2312" w:hAnsi="仿宋_GB2312" w:eastAsia="仿宋_GB2312" w:cs="仿宋_GB2312"/>
                <w:sz w:val="30"/>
                <w:szCs w:val="30"/>
                <w:vertAlign w:val="subscript"/>
              </w:rPr>
              <w:t>2</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5C57">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val="en-US" w:eastAsia="zh-CN" w:bidi="ar"/>
              </w:rPr>
              <w:t>分钟</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EA8E">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val="en-US" w:eastAsia="zh-CN" w:bidi="ar"/>
              </w:rPr>
              <w:t>30</w:t>
            </w:r>
          </w:p>
        </w:tc>
      </w:tr>
      <w:tr w14:paraId="057D0DEE">
        <w:tblPrEx>
          <w:tblCellMar>
            <w:top w:w="0" w:type="dxa"/>
            <w:left w:w="108" w:type="dxa"/>
            <w:bottom w:w="0" w:type="dxa"/>
            <w:right w:w="108" w:type="dxa"/>
          </w:tblCellMar>
        </w:tblPrEx>
        <w:trPr>
          <w:trHeight w:val="577" w:hRule="atLeast"/>
        </w:trPr>
        <w:tc>
          <w:tcPr>
            <w:tcW w:w="2547" w:type="dxa"/>
            <w:vMerge w:val="restart"/>
            <w:tcBorders>
              <w:top w:val="single" w:color="000000" w:sz="4" w:space="0"/>
              <w:left w:val="single" w:color="000000" w:sz="4" w:space="0"/>
              <w:right w:val="single" w:color="000000" w:sz="4" w:space="0"/>
            </w:tcBorders>
            <w:shd w:val="clear" w:color="auto" w:fill="auto"/>
            <w:vAlign w:val="center"/>
          </w:tcPr>
          <w:p w14:paraId="092FA993">
            <w:pPr>
              <w:widowControl/>
              <w:adjustRightInd w:val="0"/>
              <w:snapToGrid w:val="0"/>
              <w:jc w:val="center"/>
              <w:textAlignment w:val="center"/>
              <w:rPr>
                <w:rFonts w:ascii="仿宋_GB2312" w:hAnsi="仿宋_GB2312" w:eastAsia="仿宋_GB2312" w:cs="仿宋_GB2312"/>
                <w:color w:val="000000"/>
                <w:sz w:val="22"/>
              </w:rPr>
            </w:pPr>
            <w:r>
              <w:rPr>
                <w:rFonts w:hint="eastAsia" w:ascii="仿宋_GB2312" w:hAnsi="仿宋_GB2312" w:eastAsia="仿宋_GB2312" w:cs="仿宋_GB2312"/>
                <w:color w:val="000000"/>
                <w:kern w:val="0"/>
                <w:sz w:val="22"/>
                <w:lang w:bidi="ar"/>
              </w:rPr>
              <w:t>有功响应</w:t>
            </w:r>
            <w:r>
              <w:rPr>
                <w:rFonts w:hint="eastAsia" w:ascii="仿宋_GB2312" w:hAnsi="仿宋_GB2312" w:eastAsia="仿宋_GB2312" w:cs="仿宋_GB2312"/>
                <w:color w:val="000000"/>
                <w:kern w:val="0"/>
                <w:sz w:val="22"/>
                <w:lang w:val="en-US" w:eastAsia="zh-CN" w:bidi="ar"/>
              </w:rPr>
              <w:t>结束</w:t>
            </w:r>
            <w:r>
              <w:rPr>
                <w:rFonts w:hint="eastAsia" w:ascii="仿宋_GB2312" w:hAnsi="仿宋_GB2312" w:eastAsia="仿宋_GB2312" w:cs="仿宋_GB2312"/>
                <w:color w:val="000000"/>
                <w:kern w:val="0"/>
                <w:sz w:val="22"/>
                <w:lang w:bidi="ar"/>
              </w:rPr>
              <w:t>后</w:t>
            </w:r>
            <w:r>
              <w:rPr>
                <w:rFonts w:hint="eastAsia" w:ascii="仿宋_GB2312" w:hAnsi="仿宋_GB2312" w:eastAsia="仿宋_GB2312" w:cs="仿宋_GB2312"/>
                <w:color w:val="000000"/>
                <w:kern w:val="0"/>
                <w:sz w:val="22"/>
                <w:lang w:val="en-US" w:eastAsia="zh-CN" w:bidi="ar"/>
              </w:rPr>
              <w:t>功率</w:t>
            </w:r>
            <w:r>
              <w:rPr>
                <w:rFonts w:hint="eastAsia" w:ascii="仿宋_GB2312" w:hAnsi="仿宋_GB2312" w:eastAsia="仿宋_GB2312" w:cs="仿宋_GB2312"/>
                <w:color w:val="000000"/>
                <w:kern w:val="0"/>
                <w:sz w:val="22"/>
                <w:lang w:bidi="ar"/>
              </w:rPr>
              <w:t>调节限制比例</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BF55">
            <w:pPr>
              <w:widowControl/>
              <w:adjustRightInd w:val="0"/>
              <w:snapToGrid w:val="0"/>
              <w:jc w:val="center"/>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sz w:val="30"/>
                <w:szCs w:val="30"/>
              </w:rPr>
              <w:t>H</w:t>
            </w:r>
            <w:r>
              <w:rPr>
                <w:rFonts w:hint="eastAsia" w:ascii="仿宋_GB2312" w:hAnsi="仿宋_GB2312" w:eastAsia="仿宋_GB2312" w:cs="仿宋_GB2312"/>
                <w:sz w:val="30"/>
                <w:szCs w:val="30"/>
                <w:vertAlign w:val="subscript"/>
                <w:lang w:val="en-US" w:eastAsia="zh-CN"/>
              </w:rPr>
              <w:t>1</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080C">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9A26">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w:t>
            </w:r>
          </w:p>
        </w:tc>
      </w:tr>
      <w:tr w14:paraId="355030CA">
        <w:tblPrEx>
          <w:tblCellMar>
            <w:top w:w="0" w:type="dxa"/>
            <w:left w:w="108" w:type="dxa"/>
            <w:bottom w:w="0" w:type="dxa"/>
            <w:right w:w="108" w:type="dxa"/>
          </w:tblCellMar>
        </w:tblPrEx>
        <w:trPr>
          <w:trHeight w:val="577" w:hRule="atLeast"/>
        </w:trPr>
        <w:tc>
          <w:tcPr>
            <w:tcW w:w="2547" w:type="dxa"/>
            <w:vMerge w:val="continue"/>
            <w:tcBorders>
              <w:left w:val="single" w:color="000000" w:sz="4" w:space="0"/>
              <w:bottom w:val="single" w:color="000000" w:sz="4" w:space="0"/>
              <w:right w:val="single" w:color="000000" w:sz="4" w:space="0"/>
            </w:tcBorders>
            <w:shd w:val="clear" w:color="auto" w:fill="auto"/>
            <w:vAlign w:val="center"/>
          </w:tcPr>
          <w:p w14:paraId="6DDD21FC">
            <w:pPr>
              <w:widowControl/>
              <w:adjustRightInd w:val="0"/>
              <w:snapToGrid w:val="0"/>
              <w:jc w:val="center"/>
              <w:textAlignment w:val="center"/>
              <w:rPr>
                <w:rFonts w:ascii="仿宋_GB2312" w:hAnsi="仿宋_GB2312" w:eastAsia="仿宋_GB2312" w:cs="仿宋_GB2312"/>
                <w:color w:val="000000"/>
                <w:sz w:val="22"/>
              </w:rPr>
            </w:pP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CDB0">
            <w:pPr>
              <w:widowControl/>
              <w:adjustRightInd w:val="0"/>
              <w:snapToGrid w:val="0"/>
              <w:jc w:val="center"/>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sz w:val="30"/>
                <w:szCs w:val="30"/>
              </w:rPr>
              <w:t>H</w:t>
            </w:r>
            <w:r>
              <w:rPr>
                <w:rFonts w:hint="eastAsia" w:ascii="仿宋_GB2312" w:hAnsi="仿宋_GB2312" w:eastAsia="仿宋_GB2312" w:cs="仿宋_GB2312"/>
                <w:sz w:val="30"/>
                <w:szCs w:val="30"/>
                <w:vertAlign w:val="subscript"/>
                <w:lang w:val="en-US" w:eastAsia="zh-CN"/>
              </w:rPr>
              <w:t>2</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4368">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CDC9">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50</w:t>
            </w:r>
          </w:p>
        </w:tc>
      </w:tr>
      <w:tr w14:paraId="23DE4511">
        <w:tblPrEx>
          <w:tblCellMar>
            <w:top w:w="0" w:type="dxa"/>
            <w:left w:w="108" w:type="dxa"/>
            <w:bottom w:w="0" w:type="dxa"/>
            <w:right w:w="108" w:type="dxa"/>
          </w:tblCellMar>
        </w:tblPrEx>
        <w:trPr>
          <w:trHeight w:val="304" w:hRule="atLeast"/>
        </w:trPr>
        <w:tc>
          <w:tcPr>
            <w:tcW w:w="2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6E61">
            <w:pPr>
              <w:widowControl/>
              <w:adjustRightInd w:val="0"/>
              <w:snapToGrid w:val="0"/>
              <w:jc w:val="center"/>
              <w:textAlignment w:val="center"/>
              <w:rPr>
                <w:rFonts w:ascii="仿宋_GB2312" w:hAnsi="仿宋_GB2312" w:eastAsia="仿宋_GB2312" w:cs="仿宋_GB2312"/>
                <w:color w:val="000000"/>
                <w:sz w:val="22"/>
              </w:rPr>
            </w:pPr>
            <w:r>
              <w:rPr>
                <w:rFonts w:hint="eastAsia" w:ascii="仿宋_GB2312" w:hAnsi="仿宋_GB2312" w:eastAsia="仿宋_GB2312" w:cs="仿宋_GB2312"/>
                <w:color w:val="000000"/>
                <w:kern w:val="0"/>
                <w:sz w:val="22"/>
                <w:lang w:bidi="ar"/>
              </w:rPr>
              <w:t>备用资源备用时长的抽测标准</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7DAF">
            <w:pPr>
              <w:widowControl/>
              <w:adjustRightInd w:val="0"/>
              <w:snapToGrid w:val="0"/>
              <w:jc w:val="center"/>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sz w:val="30"/>
                <w:szCs w:val="30"/>
              </w:rPr>
              <w:t>T</w:t>
            </w:r>
            <w:r>
              <w:rPr>
                <w:rFonts w:hint="eastAsia" w:ascii="仿宋_GB2312" w:hAnsi="仿宋_GB2312" w:eastAsia="仿宋_GB2312" w:cs="仿宋_GB2312"/>
                <w:sz w:val="30"/>
                <w:szCs w:val="30"/>
                <w:vertAlign w:val="subscript"/>
                <w:lang w:val="en-US" w:eastAsia="zh-CN"/>
              </w:rPr>
              <w:t>3</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6CE3B">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小时</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3658">
            <w:pPr>
              <w:widowControl/>
              <w:adjustRightInd w:val="0"/>
              <w:snapToGrid w:val="0"/>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val="en-US" w:eastAsia="zh-CN" w:bidi="ar"/>
              </w:rPr>
              <w:t>3</w:t>
            </w:r>
            <w:r>
              <w:rPr>
                <w:rFonts w:hint="eastAsia" w:ascii="仿宋_GB2312" w:hAnsi="仿宋_GB2312" w:eastAsia="仿宋_GB2312" w:cs="仿宋_GB2312"/>
                <w:color w:val="000000"/>
                <w:kern w:val="0"/>
                <w:sz w:val="24"/>
                <w:szCs w:val="24"/>
                <w:lang w:bidi="ar"/>
              </w:rPr>
              <w:t>00</w:t>
            </w:r>
          </w:p>
        </w:tc>
      </w:tr>
    </w:tbl>
    <w:p w14:paraId="3FFA0AAF">
      <w:pPr>
        <w:jc w:val="center"/>
        <w:rPr>
          <w:rFonts w:hint="eastAsia" w:ascii="仿宋_GB2312" w:hAnsi="仿宋_GB2312" w:eastAsia="仿宋_GB2312" w:cs="仿宋_GB2312"/>
          <w:b/>
          <w:bCs/>
          <w:sz w:val="22"/>
          <w:szCs w:val="22"/>
        </w:rPr>
      </w:pPr>
    </w:p>
    <w:p w14:paraId="316E09F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rPr>
      </w:pPr>
      <w:r>
        <w:rPr>
          <w:rFonts w:hint="eastAsia" w:ascii="仿宋_GB2312" w:hAnsi="仿宋_GB2312" w:eastAsia="仿宋_GB2312" w:cs="仿宋_GB2312"/>
          <w:b/>
          <w:bCs/>
          <w:sz w:val="28"/>
          <w:szCs w:val="28"/>
        </w:rPr>
        <w:t>表11.</w:t>
      </w:r>
      <w:r>
        <w:rPr>
          <w:rFonts w:hint="eastAsia" w:ascii="仿宋_GB2312" w:hAnsi="仿宋_GB2312" w:eastAsia="仿宋_GB2312" w:cs="仿宋_GB2312"/>
          <w:b/>
          <w:bCs/>
          <w:sz w:val="28"/>
          <w:szCs w:val="28"/>
          <w:lang w:val="en-US" w:eastAsia="zh-CN"/>
        </w:rPr>
        <w:t>2</w:t>
      </w:r>
      <w:r>
        <w:rPr>
          <w:rFonts w:hint="eastAsia" w:ascii="仿宋_GB2312" w:hAnsi="仿宋_GB2312" w:eastAsia="仿宋_GB2312" w:cs="仿宋_GB2312"/>
          <w:b/>
          <w:bCs/>
          <w:sz w:val="28"/>
          <w:szCs w:val="28"/>
        </w:rPr>
        <w:t xml:space="preserve"> </w:t>
      </w:r>
      <w:r>
        <w:rPr>
          <w:rFonts w:hint="eastAsia" w:ascii="仿宋_GB2312" w:hAnsi="仿宋_GB2312" w:eastAsia="仿宋_GB2312" w:cs="仿宋_GB2312"/>
          <w:b/>
          <w:bCs/>
          <w:sz w:val="28"/>
          <w:szCs w:val="28"/>
          <w:lang w:eastAsia="zh-CN"/>
        </w:rPr>
        <w:t>备用系数</w:t>
      </w:r>
    </w:p>
    <w:tbl>
      <w:tblPr>
        <w:tblStyle w:val="21"/>
        <w:tblpPr w:leftFromText="180" w:rightFromText="180" w:vertAnchor="text" w:horzAnchor="page" w:tblpX="1926" w:tblpY="20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655"/>
        <w:gridCol w:w="655"/>
        <w:gridCol w:w="655"/>
        <w:gridCol w:w="1339"/>
        <w:gridCol w:w="626"/>
        <w:gridCol w:w="655"/>
        <w:gridCol w:w="658"/>
        <w:gridCol w:w="873"/>
        <w:gridCol w:w="1753"/>
      </w:tblGrid>
      <w:tr w14:paraId="5839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vAlign w:val="center"/>
          </w:tcPr>
          <w:p w14:paraId="2B3E6622">
            <w:pPr>
              <w:pStyle w:val="17"/>
              <w:widowControl/>
              <w:adjustRightInd w:val="0"/>
              <w:snapToGrid w:val="0"/>
              <w:spacing w:beforeAutospacing="0" w:afterAutospacing="0" w:line="560" w:lineRule="exact"/>
              <w:jc w:val="center"/>
              <w:textAlignment w:val="baseline"/>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z w:val="20"/>
                <w:szCs w:val="20"/>
                <w:lang w:val="en-US" w:eastAsia="zh-CN"/>
              </w:rPr>
              <w:t>类型</w:t>
            </w:r>
          </w:p>
        </w:tc>
        <w:tc>
          <w:tcPr>
            <w:tcW w:w="1152" w:type="pct"/>
            <w:gridSpan w:val="3"/>
            <w:vAlign w:val="center"/>
          </w:tcPr>
          <w:p w14:paraId="02DA2D07">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用户侧储能</w:t>
            </w:r>
          </w:p>
          <w:p w14:paraId="3208F2BC">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0"/>
                <w:szCs w:val="20"/>
                <w:lang w:val="en-US" w:eastAsia="zh-CN"/>
              </w:rPr>
              <w:t>（额定功率）</w:t>
            </w:r>
          </w:p>
        </w:tc>
        <w:tc>
          <w:tcPr>
            <w:tcW w:w="785" w:type="pct"/>
            <w:vAlign w:val="center"/>
          </w:tcPr>
          <w:p w14:paraId="5792B4FB">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可中断负荷</w:t>
            </w:r>
          </w:p>
          <w:p w14:paraId="2E3C2D3E">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0"/>
                <w:szCs w:val="20"/>
                <w:lang w:val="en-US" w:eastAsia="zh-CN"/>
              </w:rPr>
              <w:t>（运行功率）</w:t>
            </w:r>
          </w:p>
        </w:tc>
        <w:tc>
          <w:tcPr>
            <w:tcW w:w="1137" w:type="pct"/>
            <w:gridSpan w:val="3"/>
            <w:vAlign w:val="center"/>
          </w:tcPr>
          <w:p w14:paraId="588BA88E">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制冷负荷</w:t>
            </w:r>
          </w:p>
          <w:p w14:paraId="6A717170">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（运行功率）</w:t>
            </w:r>
          </w:p>
        </w:tc>
        <w:tc>
          <w:tcPr>
            <w:tcW w:w="1540" w:type="pct"/>
            <w:gridSpan w:val="2"/>
            <w:vAlign w:val="center"/>
          </w:tcPr>
          <w:p w14:paraId="508BB537">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充换电设施</w:t>
            </w:r>
          </w:p>
          <w:p w14:paraId="5FBEDB99">
            <w:pPr>
              <w:pStyle w:val="17"/>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（运行功率）</w:t>
            </w:r>
          </w:p>
        </w:tc>
      </w:tr>
      <w:tr w14:paraId="76FB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vAlign w:val="center"/>
          </w:tcPr>
          <w:p w14:paraId="16546134">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状态</w:t>
            </w:r>
          </w:p>
        </w:tc>
        <w:tc>
          <w:tcPr>
            <w:tcW w:w="384" w:type="pct"/>
            <w:vAlign w:val="center"/>
          </w:tcPr>
          <w:p w14:paraId="766F9B42">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充电</w:t>
            </w:r>
          </w:p>
        </w:tc>
        <w:tc>
          <w:tcPr>
            <w:tcW w:w="384" w:type="pct"/>
            <w:vAlign w:val="center"/>
          </w:tcPr>
          <w:p w14:paraId="530B3B43">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空闲</w:t>
            </w:r>
          </w:p>
        </w:tc>
        <w:tc>
          <w:tcPr>
            <w:tcW w:w="384" w:type="pct"/>
            <w:vAlign w:val="center"/>
          </w:tcPr>
          <w:p w14:paraId="3520A419">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其他</w:t>
            </w:r>
          </w:p>
        </w:tc>
        <w:tc>
          <w:tcPr>
            <w:tcW w:w="785" w:type="pct"/>
            <w:vAlign w:val="center"/>
          </w:tcPr>
          <w:p w14:paraId="237C84F3">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w:t>
            </w:r>
          </w:p>
        </w:tc>
        <w:tc>
          <w:tcPr>
            <w:tcW w:w="367" w:type="pct"/>
            <w:vAlign w:val="center"/>
          </w:tcPr>
          <w:p w14:paraId="0CDECF26">
            <w:pPr>
              <w:pStyle w:val="17"/>
              <w:widowControl/>
              <w:adjustRightInd w:val="0"/>
              <w:snapToGrid w:val="0"/>
              <w:spacing w:beforeAutospacing="0" w:afterAutospacing="0" w:line="560" w:lineRule="exact"/>
              <w:jc w:val="center"/>
              <w:textAlignment w:val="baseline"/>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制冷</w:t>
            </w:r>
          </w:p>
        </w:tc>
        <w:tc>
          <w:tcPr>
            <w:tcW w:w="384" w:type="pct"/>
            <w:vAlign w:val="center"/>
          </w:tcPr>
          <w:p w14:paraId="78732BF5">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蓄冷</w:t>
            </w:r>
          </w:p>
        </w:tc>
        <w:tc>
          <w:tcPr>
            <w:tcW w:w="386" w:type="pct"/>
            <w:vAlign w:val="center"/>
          </w:tcPr>
          <w:p w14:paraId="386AB7D7">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其他</w:t>
            </w:r>
          </w:p>
        </w:tc>
        <w:tc>
          <w:tcPr>
            <w:tcW w:w="512" w:type="pct"/>
            <w:vAlign w:val="center"/>
          </w:tcPr>
          <w:p w14:paraId="2B23F528">
            <w:pPr>
              <w:pStyle w:val="17"/>
              <w:widowControl/>
              <w:adjustRightInd w:val="0"/>
              <w:snapToGrid w:val="0"/>
              <w:spacing w:beforeAutospacing="0" w:afterAutospacing="0" w:line="560" w:lineRule="exact"/>
              <w:jc w:val="center"/>
              <w:textAlignment w:val="baseline"/>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仅充电</w:t>
            </w:r>
          </w:p>
        </w:tc>
        <w:tc>
          <w:tcPr>
            <w:tcW w:w="1028" w:type="pct"/>
            <w:vAlign w:val="center"/>
          </w:tcPr>
          <w:p w14:paraId="60E29A79">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充电（可</w:t>
            </w:r>
            <w:r>
              <w:rPr>
                <w:rFonts w:hint="eastAsia" w:ascii="仿宋_GB2312" w:hAnsi="仿宋_GB2312" w:eastAsia="仿宋_GB2312" w:cs="仿宋_GB2312"/>
                <w:sz w:val="20"/>
                <w:szCs w:val="20"/>
                <w:lang w:val="en-US" w:eastAsia="zh-CN"/>
              </w:rPr>
              <w:t>放电）</w:t>
            </w:r>
          </w:p>
        </w:tc>
      </w:tr>
      <w:tr w14:paraId="3117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433B75B5">
            <w:pPr>
              <w:pStyle w:val="17"/>
              <w:widowControl/>
              <w:adjustRightInd w:val="0"/>
              <w:snapToGrid w:val="0"/>
              <w:spacing w:beforeAutospacing="0" w:afterAutospacing="0" w:line="560" w:lineRule="exact"/>
              <w:jc w:val="center"/>
              <w:textAlignment w:val="baseline"/>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K</w:t>
            </w:r>
            <w:r>
              <w:rPr>
                <w:rFonts w:hint="eastAsia" w:ascii="仿宋_GB2312" w:hAnsi="仿宋_GB2312" w:eastAsia="仿宋_GB2312" w:cs="仿宋_GB2312"/>
                <w:sz w:val="21"/>
                <w:szCs w:val="21"/>
                <w:vertAlign w:val="subscript"/>
                <w:lang w:val="en-US" w:eastAsia="zh-CN"/>
              </w:rPr>
              <w:t>X</w:t>
            </w:r>
          </w:p>
        </w:tc>
        <w:tc>
          <w:tcPr>
            <w:tcW w:w="384" w:type="pct"/>
            <w:vAlign w:val="center"/>
          </w:tcPr>
          <w:p w14:paraId="3710B847">
            <w:pPr>
              <w:pStyle w:val="17"/>
              <w:widowControl/>
              <w:adjustRightInd w:val="0"/>
              <w:snapToGrid w:val="0"/>
              <w:spacing w:beforeAutospacing="0" w:afterAutospacing="0" w:line="560" w:lineRule="exact"/>
              <w:jc w:val="center"/>
              <w:textAlignment w:val="baseline"/>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z w:val="21"/>
                <w:szCs w:val="21"/>
                <w:lang w:val="en-US" w:eastAsia="zh-CN"/>
              </w:rPr>
              <w:t>2</w:t>
            </w:r>
          </w:p>
        </w:tc>
        <w:tc>
          <w:tcPr>
            <w:tcW w:w="384" w:type="pct"/>
            <w:vAlign w:val="center"/>
          </w:tcPr>
          <w:p w14:paraId="331242EE">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w:t>
            </w:r>
          </w:p>
        </w:tc>
        <w:tc>
          <w:tcPr>
            <w:tcW w:w="384" w:type="pct"/>
            <w:vAlign w:val="center"/>
          </w:tcPr>
          <w:p w14:paraId="7F881ED2">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0</w:t>
            </w:r>
          </w:p>
        </w:tc>
        <w:tc>
          <w:tcPr>
            <w:tcW w:w="785" w:type="pct"/>
            <w:vAlign w:val="center"/>
          </w:tcPr>
          <w:p w14:paraId="2140E848">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1</w:t>
            </w:r>
          </w:p>
        </w:tc>
        <w:tc>
          <w:tcPr>
            <w:tcW w:w="367" w:type="pct"/>
            <w:vAlign w:val="center"/>
          </w:tcPr>
          <w:p w14:paraId="3258766B">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color w:val="000000"/>
                <w:sz w:val="21"/>
                <w:szCs w:val="21"/>
                <w:lang w:val="en-US" w:eastAsia="zh-CN"/>
              </w:rPr>
              <w:t>0.4</w:t>
            </w:r>
          </w:p>
        </w:tc>
        <w:tc>
          <w:tcPr>
            <w:tcW w:w="384" w:type="pct"/>
            <w:vAlign w:val="center"/>
          </w:tcPr>
          <w:p w14:paraId="638B9FC2">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1.0</w:t>
            </w:r>
          </w:p>
        </w:tc>
        <w:tc>
          <w:tcPr>
            <w:tcW w:w="386" w:type="pct"/>
            <w:vAlign w:val="center"/>
          </w:tcPr>
          <w:p w14:paraId="0CE29681">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0</w:t>
            </w:r>
          </w:p>
        </w:tc>
        <w:tc>
          <w:tcPr>
            <w:tcW w:w="512" w:type="pct"/>
            <w:vAlign w:val="center"/>
          </w:tcPr>
          <w:p w14:paraId="07CE340B">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0.3</w:t>
            </w:r>
          </w:p>
        </w:tc>
        <w:tc>
          <w:tcPr>
            <w:tcW w:w="1028" w:type="pct"/>
            <w:vAlign w:val="center"/>
          </w:tcPr>
          <w:p w14:paraId="02270EA3">
            <w:pPr>
              <w:pStyle w:val="17"/>
              <w:widowControl/>
              <w:adjustRightInd w:val="0"/>
              <w:snapToGrid w:val="0"/>
              <w:spacing w:beforeAutospacing="0" w:afterAutospacing="0" w:line="560" w:lineRule="exact"/>
              <w:jc w:val="center"/>
              <w:textAlignment w:val="baseline"/>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w:t>
            </w:r>
          </w:p>
        </w:tc>
      </w:tr>
    </w:tbl>
    <w:p w14:paraId="3FC74969">
      <w:pPr>
        <w:jc w:val="both"/>
        <w:rPr>
          <w:rFonts w:hint="eastAsia" w:ascii="仿宋_GB2312" w:hAnsi="仿宋_GB2312" w:eastAsia="仿宋_GB2312" w:cs="仿宋_GB2312"/>
          <w:b/>
          <w:bCs/>
          <w:sz w:val="28"/>
          <w:szCs w:val="28"/>
        </w:rPr>
      </w:pPr>
    </w:p>
    <w:p w14:paraId="010F9CE2">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表1</w:t>
      </w:r>
      <w:r>
        <w:rPr>
          <w:rFonts w:hint="eastAsia" w:ascii="仿宋_GB2312" w:hAnsi="仿宋_GB2312" w:eastAsia="仿宋_GB2312" w:cs="仿宋_GB2312"/>
          <w:b/>
          <w:bCs/>
          <w:sz w:val="28"/>
          <w:szCs w:val="28"/>
          <w:lang w:val="en-US" w:eastAsia="zh-CN"/>
        </w:rPr>
        <w:t>1.3</w:t>
      </w:r>
      <w:r>
        <w:rPr>
          <w:rFonts w:hint="eastAsia" w:ascii="仿宋_GB2312" w:hAnsi="仿宋_GB2312" w:eastAsia="仿宋_GB2312" w:cs="仿宋_GB2312"/>
          <w:b/>
          <w:bCs/>
          <w:sz w:val="28"/>
          <w:szCs w:val="28"/>
        </w:rPr>
        <w:t xml:space="preserve"> 响应效果评估标准</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1113"/>
        <w:gridCol w:w="1821"/>
        <w:gridCol w:w="1995"/>
        <w:gridCol w:w="1558"/>
      </w:tblGrid>
      <w:tr w14:paraId="798D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2" w:type="pct"/>
            <w:vAlign w:val="center"/>
          </w:tcPr>
          <w:p w14:paraId="10F89090">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sz w:val="21"/>
                <w:szCs w:val="21"/>
              </w:rPr>
              <w:t>有效响应容量</w:t>
            </w:r>
          </w:p>
        </w:tc>
        <w:tc>
          <w:tcPr>
            <w:tcW w:w="653" w:type="pct"/>
            <w:vAlign w:val="center"/>
          </w:tcPr>
          <w:p w14:paraId="703DD003">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&lt;50%</w:t>
            </w:r>
          </w:p>
        </w:tc>
        <w:tc>
          <w:tcPr>
            <w:tcW w:w="1068" w:type="pct"/>
            <w:vAlign w:val="center"/>
          </w:tcPr>
          <w:p w14:paraId="1BF9945A">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[50%,80%)</w:t>
            </w:r>
          </w:p>
        </w:tc>
        <w:tc>
          <w:tcPr>
            <w:tcW w:w="1170" w:type="pct"/>
            <w:vAlign w:val="center"/>
          </w:tcPr>
          <w:p w14:paraId="326D5ECB">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[80%,120%)</w:t>
            </w:r>
          </w:p>
        </w:tc>
        <w:tc>
          <w:tcPr>
            <w:tcW w:w="914" w:type="pct"/>
            <w:vAlign w:val="center"/>
          </w:tcPr>
          <w:p w14:paraId="76007FB7">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≥120%</w:t>
            </w:r>
          </w:p>
        </w:tc>
      </w:tr>
      <w:tr w14:paraId="03AB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vAlign w:val="center"/>
          </w:tcPr>
          <w:p w14:paraId="64D9672D">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sz w:val="21"/>
                <w:szCs w:val="21"/>
              </w:rPr>
              <w:t>响应系数X</w:t>
            </w:r>
          </w:p>
        </w:tc>
        <w:tc>
          <w:tcPr>
            <w:tcW w:w="653" w:type="pct"/>
            <w:vAlign w:val="center"/>
          </w:tcPr>
          <w:p w14:paraId="2AF19664">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0</w:t>
            </w:r>
          </w:p>
        </w:tc>
        <w:tc>
          <w:tcPr>
            <w:tcW w:w="1068" w:type="pct"/>
            <w:vAlign w:val="center"/>
          </w:tcPr>
          <w:p w14:paraId="5F4A52AD">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0.8</w:t>
            </w:r>
          </w:p>
        </w:tc>
        <w:tc>
          <w:tcPr>
            <w:tcW w:w="1170" w:type="pct"/>
            <w:vAlign w:val="center"/>
          </w:tcPr>
          <w:p w14:paraId="6B341731">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1</w:t>
            </w:r>
          </w:p>
        </w:tc>
        <w:tc>
          <w:tcPr>
            <w:tcW w:w="914" w:type="pct"/>
            <w:vAlign w:val="center"/>
          </w:tcPr>
          <w:p w14:paraId="5A4201B0">
            <w:pPr>
              <w:pStyle w:val="17"/>
              <w:widowControl/>
              <w:adjustRightInd w:val="0"/>
              <w:snapToGrid w:val="0"/>
              <w:spacing w:beforeAutospacing="0" w:afterAutospacing="0" w:line="560" w:lineRule="exact"/>
              <w:jc w:val="center"/>
              <w:textAlignment w:val="baseline"/>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r>
    </w:tbl>
    <w:p w14:paraId="39EFE256">
      <w:pPr>
        <w:rPr>
          <w:rFonts w:hint="eastAsia" w:ascii="仿宋_GB2312" w:hAnsi="仿宋_GB2312" w:eastAsia="仿宋_GB2312" w:cs="仿宋_GB2312"/>
          <w:b/>
          <w:bCs/>
          <w:sz w:val="28"/>
          <w:szCs w:val="28"/>
        </w:rPr>
      </w:pPr>
    </w:p>
    <w:p w14:paraId="2B3E9570">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表1</w:t>
      </w:r>
      <w:r>
        <w:rPr>
          <w:rFonts w:hint="eastAsia" w:ascii="仿宋_GB2312" w:hAnsi="仿宋_GB2312" w:eastAsia="仿宋_GB2312" w:cs="仿宋_GB2312"/>
          <w:b/>
          <w:bCs/>
          <w:sz w:val="28"/>
          <w:szCs w:val="28"/>
          <w:lang w:val="en-US" w:eastAsia="zh-CN"/>
        </w:rPr>
        <w:t>1.4</w:t>
      </w:r>
      <w:r>
        <w:rPr>
          <w:rFonts w:hint="eastAsia" w:ascii="仿宋_GB2312" w:hAnsi="仿宋_GB2312" w:eastAsia="仿宋_GB2312" w:cs="仿宋_GB2312"/>
          <w:b/>
          <w:bCs/>
          <w:sz w:val="28"/>
          <w:szCs w:val="28"/>
        </w:rPr>
        <w:t xml:space="preserve"> 有功响应价格补贴系数</w:t>
      </w:r>
    </w:p>
    <w:tbl>
      <w:tblPr>
        <w:tblStyle w:val="20"/>
        <w:tblW w:w="8398" w:type="dxa"/>
        <w:tblInd w:w="98" w:type="dxa"/>
        <w:tblLayout w:type="autofit"/>
        <w:tblCellMar>
          <w:top w:w="0" w:type="dxa"/>
          <w:left w:w="108" w:type="dxa"/>
          <w:bottom w:w="0" w:type="dxa"/>
          <w:right w:w="108" w:type="dxa"/>
        </w:tblCellMar>
      </w:tblPr>
      <w:tblGrid>
        <w:gridCol w:w="1574"/>
        <w:gridCol w:w="362"/>
        <w:gridCol w:w="410"/>
        <w:gridCol w:w="1934"/>
        <w:gridCol w:w="4144"/>
      </w:tblGrid>
      <w:tr w14:paraId="5B0A1FCA">
        <w:tblPrEx>
          <w:tblCellMar>
            <w:top w:w="0" w:type="dxa"/>
            <w:left w:w="108" w:type="dxa"/>
            <w:bottom w:w="0" w:type="dxa"/>
            <w:right w:w="108" w:type="dxa"/>
          </w:tblCellMar>
        </w:tblPrEx>
        <w:trPr>
          <w:trHeight w:val="311"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D84C">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品种</w:t>
            </w: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C2CD">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参数</w:t>
            </w:r>
          </w:p>
        </w:tc>
        <w:tc>
          <w:tcPr>
            <w:tcW w:w="2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2105B">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参数定义</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3FC47">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取值</w:t>
            </w:r>
          </w:p>
        </w:tc>
      </w:tr>
      <w:tr w14:paraId="57C69661">
        <w:tblPrEx>
          <w:tblCellMar>
            <w:top w:w="0" w:type="dxa"/>
            <w:left w:w="108" w:type="dxa"/>
            <w:bottom w:w="0" w:type="dxa"/>
            <w:right w:w="108" w:type="dxa"/>
          </w:tblCellMar>
        </w:tblPrEx>
        <w:trPr>
          <w:trHeight w:val="9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D29C">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2435">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 w:val="30"/>
                <w:szCs w:val="30"/>
              </w:rPr>
              <w:t>R</w:t>
            </w:r>
            <w:r>
              <w:rPr>
                <w:rFonts w:hint="eastAsia" w:ascii="仿宋_GB2312" w:hAnsi="仿宋_GB2312" w:eastAsia="仿宋_GB2312" w:cs="仿宋_GB2312"/>
                <w:color w:val="000000"/>
                <w:sz w:val="30"/>
                <w:szCs w:val="30"/>
                <w:vertAlign w:val="subscript"/>
              </w:rPr>
              <w:t>1</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37ED">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有功响应基准价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C2CC">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kern w:val="0"/>
                <w:szCs w:val="21"/>
                <w:lang w:bidi="ar"/>
              </w:rPr>
              <w:t>广东省</w:t>
            </w:r>
            <w:r>
              <w:rPr>
                <w:rFonts w:hint="eastAsia" w:ascii="仿宋_GB2312" w:hAnsi="仿宋_GB2312" w:eastAsia="仿宋_GB2312" w:cs="仿宋_GB2312"/>
                <w:color w:val="000000"/>
                <w:kern w:val="0"/>
                <w:szCs w:val="21"/>
                <w:lang w:val="en-US" w:eastAsia="zh-CN" w:bidi="ar"/>
              </w:rPr>
              <w:t>本时段</w:t>
            </w:r>
            <w:r>
              <w:rPr>
                <w:rFonts w:hint="eastAsia" w:ascii="仿宋_GB2312" w:hAnsi="仿宋_GB2312" w:eastAsia="仿宋_GB2312" w:cs="仿宋_GB2312"/>
                <w:color w:val="000000"/>
                <w:kern w:val="0"/>
                <w:szCs w:val="21"/>
                <w:lang w:bidi="ar"/>
              </w:rPr>
              <w:t>有功响应价格</w:t>
            </w:r>
            <w:r>
              <w:rPr>
                <w:rFonts w:hint="eastAsia" w:ascii="仿宋_GB2312" w:hAnsi="仿宋_GB2312" w:eastAsia="仿宋_GB2312" w:cs="仿宋_GB2312"/>
                <w:color w:val="000000"/>
                <w:kern w:val="0"/>
                <w:szCs w:val="21"/>
                <w:lang w:eastAsia="zh-CN" w:bidi="ar"/>
              </w:rPr>
              <w:t>，</w:t>
            </w:r>
            <w:r>
              <w:rPr>
                <w:rFonts w:hint="eastAsia" w:ascii="仿宋_GB2312" w:hAnsi="仿宋_GB2312" w:eastAsia="仿宋_GB2312" w:cs="仿宋_GB2312"/>
                <w:color w:val="000000"/>
                <w:kern w:val="0"/>
                <w:szCs w:val="21"/>
                <w:lang w:val="en-US" w:eastAsia="zh-CN" w:bidi="ar"/>
              </w:rPr>
              <w:t>当未形成时为</w:t>
            </w:r>
            <w:r>
              <w:rPr>
                <w:rFonts w:hint="eastAsia" w:ascii="仿宋_GB2312" w:hAnsi="仿宋_GB2312" w:eastAsia="仿宋_GB2312" w:cs="仿宋_GB2312"/>
                <w:color w:val="000000"/>
                <w:kern w:val="0"/>
                <w:szCs w:val="21"/>
                <w:lang w:bidi="ar"/>
              </w:rPr>
              <w:t>暂定</w:t>
            </w:r>
            <w:r>
              <w:rPr>
                <w:rFonts w:hint="eastAsia" w:ascii="仿宋_GB2312" w:hAnsi="仿宋_GB2312" w:eastAsia="仿宋_GB2312" w:cs="仿宋_GB2312"/>
                <w:color w:val="000000"/>
                <w:kern w:val="0"/>
                <w:szCs w:val="21"/>
                <w:lang w:val="en-US" w:eastAsia="zh-CN" w:bidi="ar"/>
              </w:rPr>
              <w:t>价</w:t>
            </w:r>
            <w:r>
              <w:rPr>
                <w:rFonts w:hint="eastAsia" w:ascii="仿宋_GB2312" w:hAnsi="仿宋_GB2312" w:eastAsia="仿宋_GB2312" w:cs="仿宋_GB2312"/>
                <w:color w:val="000000"/>
                <w:kern w:val="0"/>
                <w:szCs w:val="21"/>
                <w:lang w:bidi="ar"/>
              </w:rPr>
              <w:t>3.5元/千瓦</w:t>
            </w:r>
            <w:r>
              <w:rPr>
                <w:rFonts w:hint="eastAsia" w:ascii="仿宋_GB2312" w:hAnsi="仿宋_GB2312" w:eastAsia="仿宋_GB2312" w:cs="仿宋_GB2312"/>
                <w:color w:val="000000"/>
                <w:kern w:val="0"/>
                <w:szCs w:val="21"/>
                <w:lang w:val="en-US" w:eastAsia="zh-CN" w:bidi="ar"/>
              </w:rPr>
              <w:t>时</w:t>
            </w:r>
          </w:p>
        </w:tc>
      </w:tr>
      <w:tr w14:paraId="47F48C4C">
        <w:tblPrEx>
          <w:tblCellMar>
            <w:top w:w="0" w:type="dxa"/>
            <w:left w:w="108" w:type="dxa"/>
            <w:bottom w:w="0" w:type="dxa"/>
            <w:right w:w="108" w:type="dxa"/>
          </w:tblCellMar>
        </w:tblPrEx>
        <w:trPr>
          <w:trHeight w:val="6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5C663">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日前有功响应</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58AD9">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f</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54FC9">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f</w:t>
            </w:r>
            <w:r>
              <w:rPr>
                <w:rFonts w:hint="eastAsia" w:ascii="仿宋_GB2312" w:hAnsi="仿宋_GB2312" w:eastAsia="仿宋_GB2312" w:cs="仿宋_GB2312"/>
                <w:color w:val="000000"/>
                <w:kern w:val="0"/>
                <w:szCs w:val="21"/>
                <w:vertAlign w:val="subscript"/>
                <w:lang w:bidi="ar"/>
              </w:rPr>
              <w:t>1</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0CBD">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日前有功响应</w:t>
            </w:r>
            <w:r>
              <w:rPr>
                <w:rFonts w:hint="eastAsia" w:ascii="仿宋_GB2312" w:hAnsi="仿宋_GB2312" w:eastAsia="仿宋_GB2312" w:cs="仿宋_GB2312"/>
                <w:color w:val="000000"/>
                <w:kern w:val="0"/>
                <w:szCs w:val="21"/>
                <w:lang w:bidi="ar"/>
              </w:rPr>
              <w:br w:type="textWrapping"/>
            </w:r>
            <w:r>
              <w:rPr>
                <w:rFonts w:hint="eastAsia" w:ascii="仿宋_GB2312" w:hAnsi="仿宋_GB2312" w:eastAsia="仿宋_GB2312" w:cs="仿宋_GB2312"/>
                <w:color w:val="000000"/>
                <w:kern w:val="0"/>
                <w:szCs w:val="21"/>
                <w:lang w:bidi="ar"/>
              </w:rPr>
              <w:t>补贴价格系数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755C">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kern w:val="0"/>
                <w:szCs w:val="21"/>
                <w:lang w:bidi="ar"/>
              </w:rPr>
              <w:t>0.8</w:t>
            </w:r>
          </w:p>
        </w:tc>
      </w:tr>
      <w:tr w14:paraId="7BB76209">
        <w:tblPrEx>
          <w:tblCellMar>
            <w:top w:w="0" w:type="dxa"/>
            <w:left w:w="108" w:type="dxa"/>
            <w:bottom w:w="0" w:type="dxa"/>
            <w:right w:w="108" w:type="dxa"/>
          </w:tblCellMar>
        </w:tblPrEx>
        <w:trPr>
          <w:trHeight w:val="6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68B0">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日内有功响应</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7EC3">
            <w:pPr>
              <w:jc w:val="center"/>
              <w:rPr>
                <w:rFonts w:ascii="仿宋_GB2312" w:hAnsi="仿宋_GB2312" w:eastAsia="仿宋_GB2312" w:cs="仿宋_GB2312"/>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81114">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f</w:t>
            </w:r>
            <w:r>
              <w:rPr>
                <w:rFonts w:hint="eastAsia" w:ascii="仿宋_GB2312" w:hAnsi="仿宋_GB2312" w:eastAsia="仿宋_GB2312" w:cs="仿宋_GB2312"/>
                <w:color w:val="000000"/>
                <w:kern w:val="0"/>
                <w:szCs w:val="21"/>
                <w:vertAlign w:val="subscript"/>
                <w:lang w:bidi="ar"/>
              </w:rPr>
              <w:t>2</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2E066">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日内有功响应</w:t>
            </w:r>
            <w:r>
              <w:rPr>
                <w:rFonts w:hint="eastAsia" w:ascii="仿宋_GB2312" w:hAnsi="仿宋_GB2312" w:eastAsia="仿宋_GB2312" w:cs="仿宋_GB2312"/>
                <w:color w:val="000000"/>
                <w:kern w:val="0"/>
                <w:szCs w:val="21"/>
                <w:lang w:bidi="ar"/>
              </w:rPr>
              <w:br w:type="textWrapping"/>
            </w:r>
            <w:r>
              <w:rPr>
                <w:rFonts w:hint="eastAsia" w:ascii="仿宋_GB2312" w:hAnsi="仿宋_GB2312" w:eastAsia="仿宋_GB2312" w:cs="仿宋_GB2312"/>
                <w:color w:val="000000"/>
                <w:kern w:val="0"/>
                <w:szCs w:val="21"/>
                <w:lang w:bidi="ar"/>
              </w:rPr>
              <w:t>补贴价格系数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AA57">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kern w:val="0"/>
                <w:szCs w:val="21"/>
                <w:lang w:bidi="ar"/>
              </w:rPr>
              <w:t>1</w:t>
            </w:r>
            <w:r>
              <w:rPr>
                <w:rFonts w:hint="eastAsia" w:ascii="仿宋_GB2312" w:hAnsi="仿宋_GB2312" w:eastAsia="仿宋_GB2312" w:cs="仿宋_GB2312"/>
                <w:color w:val="000000"/>
                <w:kern w:val="0"/>
                <w:szCs w:val="21"/>
                <w:lang w:val="en-US" w:eastAsia="zh-CN" w:bidi="ar"/>
              </w:rPr>
              <w:t>.0</w:t>
            </w:r>
          </w:p>
        </w:tc>
      </w:tr>
      <w:tr w14:paraId="1A9E821D">
        <w:tblPrEx>
          <w:tblCellMar>
            <w:top w:w="0" w:type="dxa"/>
            <w:left w:w="108" w:type="dxa"/>
            <w:bottom w:w="0" w:type="dxa"/>
            <w:right w:w="108" w:type="dxa"/>
          </w:tblCellMar>
        </w:tblPrEx>
        <w:trPr>
          <w:trHeight w:val="922"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167B">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实时有功响应</w:t>
            </w:r>
            <w:r>
              <w:rPr>
                <w:rFonts w:hint="eastAsia" w:ascii="仿宋_GB2312" w:hAnsi="仿宋_GB2312" w:eastAsia="仿宋_GB2312" w:cs="仿宋_GB2312"/>
                <w:color w:val="000000"/>
                <w:kern w:val="0"/>
                <w:szCs w:val="21"/>
                <w:lang w:bidi="ar"/>
              </w:rPr>
              <w:br w:type="textWrapping"/>
            </w:r>
            <w:r>
              <w:rPr>
                <w:rFonts w:hint="eastAsia" w:ascii="仿宋_GB2312" w:hAnsi="仿宋_GB2312" w:eastAsia="仿宋_GB2312" w:cs="仿宋_GB2312"/>
                <w:color w:val="000000"/>
                <w:kern w:val="0"/>
                <w:szCs w:val="21"/>
                <w:lang w:bidi="ar"/>
              </w:rPr>
              <w:t>（备用服务调用）</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3AAF2">
            <w:pPr>
              <w:jc w:val="center"/>
              <w:rPr>
                <w:rFonts w:ascii="仿宋_GB2312" w:hAnsi="仿宋_GB2312" w:eastAsia="仿宋_GB2312" w:cs="仿宋_GB2312"/>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A4F8">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f</w:t>
            </w:r>
            <w:r>
              <w:rPr>
                <w:rFonts w:hint="eastAsia" w:ascii="仿宋_GB2312" w:hAnsi="仿宋_GB2312" w:eastAsia="仿宋_GB2312" w:cs="仿宋_GB2312"/>
                <w:color w:val="000000"/>
                <w:kern w:val="0"/>
                <w:szCs w:val="21"/>
                <w:vertAlign w:val="subscript"/>
                <w:lang w:bidi="ar"/>
              </w:rPr>
              <w:t>3</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2F61">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实时有功响应</w:t>
            </w:r>
            <w:r>
              <w:rPr>
                <w:rFonts w:hint="eastAsia" w:ascii="仿宋_GB2312" w:hAnsi="仿宋_GB2312" w:eastAsia="仿宋_GB2312" w:cs="仿宋_GB2312"/>
                <w:color w:val="000000"/>
                <w:kern w:val="0"/>
                <w:szCs w:val="21"/>
                <w:lang w:bidi="ar"/>
              </w:rPr>
              <w:br w:type="textWrapping"/>
            </w:r>
            <w:r>
              <w:rPr>
                <w:rFonts w:hint="eastAsia" w:ascii="仿宋_GB2312" w:hAnsi="仿宋_GB2312" w:eastAsia="仿宋_GB2312" w:cs="仿宋_GB2312"/>
                <w:color w:val="000000"/>
                <w:kern w:val="0"/>
                <w:szCs w:val="21"/>
                <w:lang w:bidi="ar"/>
              </w:rPr>
              <w:t>（备用服务调用）</w:t>
            </w:r>
            <w:r>
              <w:rPr>
                <w:rFonts w:hint="eastAsia" w:ascii="仿宋_GB2312" w:hAnsi="仿宋_GB2312" w:eastAsia="仿宋_GB2312" w:cs="仿宋_GB2312"/>
                <w:color w:val="000000"/>
                <w:kern w:val="0"/>
                <w:szCs w:val="21"/>
                <w:lang w:bidi="ar"/>
              </w:rPr>
              <w:br w:type="textWrapping"/>
            </w:r>
            <w:r>
              <w:rPr>
                <w:rFonts w:hint="eastAsia" w:ascii="仿宋_GB2312" w:hAnsi="仿宋_GB2312" w:eastAsia="仿宋_GB2312" w:cs="仿宋_GB2312"/>
                <w:color w:val="000000"/>
                <w:kern w:val="0"/>
                <w:szCs w:val="21"/>
                <w:lang w:bidi="ar"/>
              </w:rPr>
              <w:t>补贴价格系数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B4192">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1.0</w:t>
            </w:r>
          </w:p>
        </w:tc>
      </w:tr>
    </w:tbl>
    <w:p w14:paraId="0F74F79B">
      <w:pPr>
        <w:rPr>
          <w:rFonts w:hint="eastAsia" w:ascii="仿宋_GB2312" w:hAnsi="仿宋_GB2312" w:eastAsia="仿宋_GB2312" w:cs="仿宋_GB2312"/>
          <w:b/>
          <w:bCs/>
          <w:sz w:val="28"/>
          <w:szCs w:val="28"/>
        </w:rPr>
      </w:pPr>
    </w:p>
    <w:p w14:paraId="42954DD2">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表1</w:t>
      </w:r>
      <w:r>
        <w:rPr>
          <w:rFonts w:hint="eastAsia" w:ascii="仿宋_GB2312" w:hAnsi="仿宋_GB2312" w:eastAsia="仿宋_GB2312" w:cs="仿宋_GB2312"/>
          <w:b/>
          <w:bCs/>
          <w:sz w:val="28"/>
          <w:szCs w:val="28"/>
          <w:lang w:val="en-US" w:eastAsia="zh-CN"/>
        </w:rPr>
        <w:t>1.5</w:t>
      </w:r>
      <w:r>
        <w:rPr>
          <w:rFonts w:hint="eastAsia" w:ascii="仿宋_GB2312" w:hAnsi="仿宋_GB2312" w:eastAsia="仿宋_GB2312" w:cs="仿宋_GB2312"/>
          <w:b/>
          <w:bCs/>
          <w:sz w:val="28"/>
          <w:szCs w:val="28"/>
        </w:rPr>
        <w:t xml:space="preserve"> 备用服务分时补贴价格系数</w:t>
      </w:r>
    </w:p>
    <w:tbl>
      <w:tblPr>
        <w:tblStyle w:val="20"/>
        <w:tblW w:w="8357" w:type="dxa"/>
        <w:tblInd w:w="98" w:type="dxa"/>
        <w:tblLayout w:type="autofit"/>
        <w:tblCellMar>
          <w:top w:w="0" w:type="dxa"/>
          <w:left w:w="108" w:type="dxa"/>
          <w:bottom w:w="0" w:type="dxa"/>
          <w:right w:w="108" w:type="dxa"/>
        </w:tblCellMar>
      </w:tblPr>
      <w:tblGrid>
        <w:gridCol w:w="1451"/>
        <w:gridCol w:w="727"/>
        <w:gridCol w:w="848"/>
        <w:gridCol w:w="2714"/>
        <w:gridCol w:w="2617"/>
      </w:tblGrid>
      <w:tr w14:paraId="52B0D4A9">
        <w:tblPrEx>
          <w:tblCellMar>
            <w:top w:w="0" w:type="dxa"/>
            <w:left w:w="108" w:type="dxa"/>
            <w:bottom w:w="0" w:type="dxa"/>
            <w:right w:w="108" w:type="dxa"/>
          </w:tblCellMar>
        </w:tblPrEx>
        <w:trPr>
          <w:trHeight w:val="328" w:hRule="atLeast"/>
        </w:trPr>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225F">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品种</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42BD4">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参数</w:t>
            </w:r>
          </w:p>
        </w:tc>
        <w:tc>
          <w:tcPr>
            <w:tcW w:w="2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61304">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参数定义</w:t>
            </w:r>
          </w:p>
        </w:tc>
        <w:tc>
          <w:tcPr>
            <w:tcW w:w="2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D1F6">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取值</w:t>
            </w:r>
          </w:p>
        </w:tc>
      </w:tr>
      <w:tr w14:paraId="76FBBE54">
        <w:tblPrEx>
          <w:tblCellMar>
            <w:top w:w="0" w:type="dxa"/>
            <w:left w:w="108" w:type="dxa"/>
            <w:bottom w:w="0" w:type="dxa"/>
            <w:right w:w="108" w:type="dxa"/>
          </w:tblCellMar>
        </w:tblPrEx>
        <w:trPr>
          <w:trHeight w:val="63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C5DD">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备用服务</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2383">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 w:val="30"/>
                <w:szCs w:val="30"/>
              </w:rPr>
              <w:t>R</w:t>
            </w:r>
            <w:r>
              <w:rPr>
                <w:rFonts w:hint="eastAsia" w:ascii="仿宋_GB2312" w:hAnsi="仿宋_GB2312" w:eastAsia="仿宋_GB2312" w:cs="仿宋_GB2312"/>
                <w:color w:val="000000"/>
                <w:sz w:val="30"/>
                <w:szCs w:val="30"/>
                <w:vertAlign w:val="subscript"/>
              </w:rPr>
              <w:t>2</w:t>
            </w: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CE90">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备用服务补贴基准价</w:t>
            </w:r>
          </w:p>
        </w:tc>
        <w:tc>
          <w:tcPr>
            <w:tcW w:w="2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FF01">
            <w:pPr>
              <w:widowControl/>
              <w:jc w:val="center"/>
              <w:textAlignment w:val="center"/>
              <w:rPr>
                <w:rFonts w:hint="eastAsia" w:ascii="仿宋_GB2312" w:hAnsi="仿宋_GB2312" w:eastAsia="仿宋_GB2312" w:cs="仿宋_GB2312"/>
                <w:color w:val="000000"/>
                <w:szCs w:val="21"/>
                <w:lang w:eastAsia="zh-CN"/>
              </w:rPr>
            </w:pPr>
            <w:r>
              <w:rPr>
                <w:rFonts w:hint="eastAsia" w:ascii="仿宋_GB2312" w:hAnsi="仿宋_GB2312" w:eastAsia="仿宋_GB2312" w:cs="仿宋_GB2312"/>
                <w:color w:val="000000"/>
                <w:kern w:val="0"/>
                <w:szCs w:val="21"/>
                <w:lang w:bidi="ar"/>
              </w:rPr>
              <w:t>暂定0.01元/千瓦</w:t>
            </w:r>
            <w:r>
              <w:rPr>
                <w:rFonts w:hint="eastAsia" w:ascii="仿宋_GB2312" w:hAnsi="仿宋_GB2312" w:eastAsia="仿宋_GB2312" w:cs="仿宋_GB2312"/>
                <w:color w:val="000000"/>
                <w:kern w:val="0"/>
                <w:szCs w:val="21"/>
                <w:lang w:eastAsia="zh-CN" w:bidi="ar"/>
              </w:rPr>
              <w:t>时</w:t>
            </w:r>
          </w:p>
        </w:tc>
      </w:tr>
      <w:tr w14:paraId="25676480">
        <w:tblPrEx>
          <w:tblCellMar>
            <w:top w:w="0" w:type="dxa"/>
            <w:left w:w="108" w:type="dxa"/>
            <w:bottom w:w="0" w:type="dxa"/>
            <w:right w:w="108" w:type="dxa"/>
          </w:tblCellMar>
        </w:tblPrEx>
        <w:trPr>
          <w:trHeight w:val="3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EB7B">
            <w:pPr>
              <w:jc w:val="center"/>
              <w:rPr>
                <w:rFonts w:ascii="仿宋_GB2312" w:hAnsi="仿宋_GB2312" w:eastAsia="仿宋_GB2312" w:cs="仿宋_GB2312"/>
                <w:color w:val="000000"/>
                <w:szCs w:val="21"/>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BD272">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80EAB">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k</w:t>
            </w:r>
            <w:r>
              <w:rPr>
                <w:rFonts w:hint="eastAsia" w:ascii="仿宋_GB2312" w:hAnsi="仿宋_GB2312" w:eastAsia="仿宋_GB2312" w:cs="仿宋_GB2312"/>
                <w:color w:val="000000"/>
                <w:kern w:val="0"/>
                <w:szCs w:val="21"/>
                <w:vertAlign w:val="subscript"/>
                <w:lang w:bidi="ar"/>
              </w:rPr>
              <w:t>1</w:t>
            </w: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6A76">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峰时段备用价格</w:t>
            </w:r>
          </w:p>
        </w:tc>
        <w:tc>
          <w:tcPr>
            <w:tcW w:w="2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6FB84">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1.0</w:t>
            </w:r>
          </w:p>
        </w:tc>
      </w:tr>
      <w:tr w14:paraId="1841E055">
        <w:tblPrEx>
          <w:tblCellMar>
            <w:top w:w="0" w:type="dxa"/>
            <w:left w:w="108" w:type="dxa"/>
            <w:bottom w:w="0" w:type="dxa"/>
            <w:right w:w="108" w:type="dxa"/>
          </w:tblCellMar>
        </w:tblPrEx>
        <w:trPr>
          <w:trHeight w:val="32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0B4C6">
            <w:pPr>
              <w:jc w:val="center"/>
              <w:rPr>
                <w:rFonts w:ascii="仿宋_GB2312" w:hAnsi="仿宋_GB2312" w:eastAsia="仿宋_GB2312" w:cs="仿宋_GB2312"/>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E520">
            <w:pPr>
              <w:jc w:val="center"/>
              <w:rPr>
                <w:rFonts w:ascii="仿宋_GB2312" w:hAnsi="仿宋_GB2312" w:eastAsia="仿宋_GB2312" w:cs="仿宋_GB2312"/>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8443">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k</w:t>
            </w:r>
            <w:r>
              <w:rPr>
                <w:rFonts w:hint="eastAsia" w:ascii="仿宋_GB2312" w:hAnsi="仿宋_GB2312" w:eastAsia="仿宋_GB2312" w:cs="仿宋_GB2312"/>
                <w:color w:val="000000"/>
                <w:kern w:val="0"/>
                <w:szCs w:val="21"/>
                <w:vertAlign w:val="subscript"/>
                <w:lang w:bidi="ar"/>
              </w:rPr>
              <w:t>2</w:t>
            </w: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3DE0">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平时段备用价格</w:t>
            </w:r>
          </w:p>
        </w:tc>
        <w:tc>
          <w:tcPr>
            <w:tcW w:w="2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5526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1.0</w:t>
            </w:r>
          </w:p>
        </w:tc>
      </w:tr>
      <w:tr w14:paraId="5A27297C">
        <w:tblPrEx>
          <w:tblCellMar>
            <w:top w:w="0" w:type="dxa"/>
            <w:left w:w="108" w:type="dxa"/>
            <w:bottom w:w="0" w:type="dxa"/>
            <w:right w:w="108" w:type="dxa"/>
          </w:tblCellMar>
        </w:tblPrEx>
        <w:trPr>
          <w:trHeight w:val="34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B3D3">
            <w:pPr>
              <w:jc w:val="center"/>
              <w:rPr>
                <w:rFonts w:ascii="仿宋_GB2312" w:hAnsi="仿宋_GB2312" w:eastAsia="仿宋_GB2312" w:cs="仿宋_GB2312"/>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9AFB">
            <w:pPr>
              <w:jc w:val="center"/>
              <w:rPr>
                <w:rFonts w:ascii="仿宋_GB2312" w:hAnsi="仿宋_GB2312" w:eastAsia="仿宋_GB2312" w:cs="仿宋_GB2312"/>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E08F0">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k</w:t>
            </w:r>
            <w:r>
              <w:rPr>
                <w:rFonts w:hint="eastAsia" w:ascii="仿宋_GB2312" w:hAnsi="仿宋_GB2312" w:eastAsia="仿宋_GB2312" w:cs="仿宋_GB2312"/>
                <w:color w:val="000000"/>
                <w:kern w:val="0"/>
                <w:szCs w:val="21"/>
                <w:vertAlign w:val="subscript"/>
                <w:lang w:bidi="ar"/>
              </w:rPr>
              <w:t>3</w:t>
            </w: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F533">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谷时段备用价格</w:t>
            </w:r>
          </w:p>
        </w:tc>
        <w:tc>
          <w:tcPr>
            <w:tcW w:w="2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7051">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1.0</w:t>
            </w:r>
          </w:p>
        </w:tc>
      </w:tr>
    </w:tbl>
    <w:p w14:paraId="267D1C16">
      <w:pPr>
        <w:pStyle w:val="33"/>
        <w:tabs>
          <w:tab w:val="left" w:pos="6720"/>
        </w:tabs>
        <w:spacing w:line="560" w:lineRule="exact"/>
        <w:ind w:firstLine="0" w:firstLineChars="0"/>
        <w:rPr>
          <w:rFonts w:hint="eastAsia" w:ascii="仿宋_GB2312" w:hAnsi="仿宋_GB2312" w:eastAsia="仿宋_GB2312" w:cs="仿宋_GB2312"/>
          <w:color w:val="000000"/>
          <w:kern w:val="0"/>
          <w:sz w:val="20"/>
          <w:szCs w:val="20"/>
          <w:lang w:val="en-US" w:eastAsia="zh-CN" w:bidi="ar"/>
        </w:rPr>
      </w:pPr>
      <w:r>
        <w:rPr>
          <w:rFonts w:hint="eastAsia" w:ascii="仿宋_GB2312" w:hAnsi="仿宋_GB2312" w:eastAsia="仿宋_GB2312" w:cs="仿宋_GB2312"/>
          <w:color w:val="000000"/>
          <w:kern w:val="0"/>
          <w:sz w:val="20"/>
          <w:szCs w:val="20"/>
          <w:lang w:val="en-US" w:eastAsia="zh-CN" w:bidi="ar"/>
        </w:rPr>
        <w:t>注：峰平谷时段参考广州市峰谷分时。</w:t>
      </w:r>
    </w:p>
    <w:p w14:paraId="44D68950">
      <w:pPr>
        <w:rPr>
          <w:rFonts w:hint="eastAsia" w:ascii="仿宋_GB2312" w:hAnsi="仿宋_GB2312" w:eastAsia="仿宋_GB2312" w:cs="仿宋_GB2312"/>
          <w:b/>
          <w:bCs/>
          <w:sz w:val="28"/>
          <w:szCs w:val="28"/>
        </w:rPr>
      </w:pPr>
    </w:p>
    <w:p w14:paraId="6C3B9D7D">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表1</w:t>
      </w:r>
      <w:r>
        <w:rPr>
          <w:rFonts w:hint="eastAsia" w:ascii="仿宋_GB2312" w:hAnsi="仿宋_GB2312" w:eastAsia="仿宋_GB2312" w:cs="仿宋_GB2312"/>
          <w:b/>
          <w:bCs/>
          <w:sz w:val="28"/>
          <w:szCs w:val="28"/>
          <w:lang w:val="en-US" w:eastAsia="zh-CN"/>
        </w:rPr>
        <w:t>1.6</w:t>
      </w:r>
      <w:r>
        <w:rPr>
          <w:rFonts w:hint="eastAsia" w:ascii="仿宋_GB2312" w:hAnsi="仿宋_GB2312" w:eastAsia="仿宋_GB2312" w:cs="仿宋_GB2312"/>
          <w:b/>
          <w:bCs/>
          <w:sz w:val="28"/>
          <w:szCs w:val="28"/>
        </w:rPr>
        <w:t xml:space="preserve"> </w:t>
      </w:r>
      <w:r>
        <w:rPr>
          <w:rFonts w:hint="eastAsia" w:ascii="仿宋_GB2312" w:hAnsi="仿宋_GB2312" w:eastAsia="仿宋_GB2312" w:cs="仿宋_GB2312"/>
          <w:b/>
          <w:bCs/>
          <w:sz w:val="28"/>
          <w:szCs w:val="28"/>
          <w:lang w:val="en-US" w:eastAsia="zh-CN"/>
        </w:rPr>
        <w:t>无功</w:t>
      </w:r>
      <w:r>
        <w:rPr>
          <w:rFonts w:hint="eastAsia" w:ascii="仿宋_GB2312" w:hAnsi="仿宋_GB2312" w:eastAsia="仿宋_GB2312" w:cs="仿宋_GB2312"/>
          <w:b/>
          <w:bCs/>
          <w:sz w:val="28"/>
          <w:szCs w:val="28"/>
        </w:rPr>
        <w:t>响应价格补贴系数</w:t>
      </w:r>
    </w:p>
    <w:tbl>
      <w:tblPr>
        <w:tblStyle w:val="20"/>
        <w:tblW w:w="8424" w:type="dxa"/>
        <w:tblInd w:w="98" w:type="dxa"/>
        <w:tblLayout w:type="fixed"/>
        <w:tblCellMar>
          <w:top w:w="0" w:type="dxa"/>
          <w:left w:w="108" w:type="dxa"/>
          <w:bottom w:w="0" w:type="dxa"/>
          <w:right w:w="108" w:type="dxa"/>
        </w:tblCellMar>
      </w:tblPr>
      <w:tblGrid>
        <w:gridCol w:w="2279"/>
        <w:gridCol w:w="852"/>
        <w:gridCol w:w="1122"/>
        <w:gridCol w:w="4171"/>
      </w:tblGrid>
      <w:tr w14:paraId="5E3F93FE">
        <w:tblPrEx>
          <w:tblCellMar>
            <w:top w:w="0" w:type="dxa"/>
            <w:left w:w="108" w:type="dxa"/>
            <w:bottom w:w="0" w:type="dxa"/>
            <w:right w:w="108" w:type="dxa"/>
          </w:tblCellMar>
        </w:tblPrEx>
        <w:trPr>
          <w:trHeight w:val="311" w:hRule="atLeast"/>
        </w:trPr>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6D547">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 w:val="20"/>
                <w:szCs w:val="20"/>
                <w:lang w:bidi="ar"/>
              </w:rPr>
              <w:t>参数类型</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4541">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参数</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84EE">
            <w:pPr>
              <w:widowControl/>
              <w:jc w:val="center"/>
              <w:textAlignment w:val="center"/>
              <w:rPr>
                <w:rFonts w:hint="eastAsia" w:ascii="仿宋_GB2312" w:hAnsi="仿宋_GB2312" w:eastAsia="仿宋_GB2312" w:cs="仿宋_GB2312"/>
                <w:b/>
                <w:bCs/>
                <w:color w:val="000000"/>
                <w:szCs w:val="21"/>
                <w:lang w:eastAsia="zh-CN"/>
              </w:rPr>
            </w:pPr>
            <w:r>
              <w:rPr>
                <w:rFonts w:hint="eastAsia" w:ascii="仿宋_GB2312" w:hAnsi="仿宋_GB2312" w:eastAsia="仿宋_GB2312" w:cs="仿宋_GB2312"/>
                <w:b/>
                <w:bCs/>
                <w:color w:val="000000"/>
                <w:kern w:val="0"/>
                <w:szCs w:val="21"/>
                <w:lang w:val="en-US" w:eastAsia="zh-CN" w:bidi="ar"/>
              </w:rPr>
              <w:t>单位</w:t>
            </w:r>
          </w:p>
        </w:tc>
        <w:tc>
          <w:tcPr>
            <w:tcW w:w="4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1A8F">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取值</w:t>
            </w:r>
          </w:p>
        </w:tc>
      </w:tr>
      <w:tr w14:paraId="14B114AC">
        <w:tblPrEx>
          <w:tblCellMar>
            <w:top w:w="0" w:type="dxa"/>
            <w:left w:w="108" w:type="dxa"/>
            <w:bottom w:w="0" w:type="dxa"/>
            <w:right w:w="108" w:type="dxa"/>
          </w:tblCellMar>
        </w:tblPrEx>
        <w:trPr>
          <w:trHeight w:val="913" w:hRule="atLeast"/>
        </w:trPr>
        <w:tc>
          <w:tcPr>
            <w:tcW w:w="2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20C8">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 w:val="22"/>
                <w:lang w:bidi="ar"/>
              </w:rPr>
              <w:t>无功调节固定补偿价格</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B2B5">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 w:val="30"/>
                <w:szCs w:val="30"/>
              </w:rPr>
              <w:t>R</w:t>
            </w:r>
            <w:r>
              <w:rPr>
                <w:rFonts w:hint="eastAsia" w:ascii="仿宋_GB2312" w:hAnsi="仿宋_GB2312" w:eastAsia="仿宋_GB2312" w:cs="仿宋_GB2312"/>
                <w:color w:val="000000"/>
                <w:sz w:val="30"/>
                <w:szCs w:val="30"/>
                <w:vertAlign w:val="subscript"/>
                <w:lang w:val="en-US" w:eastAsia="zh-CN"/>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1A73">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 w:val="24"/>
                <w:szCs w:val="24"/>
                <w:lang w:bidi="ar"/>
              </w:rPr>
              <w:t>元/千乏·时</w:t>
            </w:r>
          </w:p>
        </w:tc>
        <w:tc>
          <w:tcPr>
            <w:tcW w:w="4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AEF8D">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kern w:val="0"/>
                <w:sz w:val="24"/>
                <w:szCs w:val="24"/>
                <w:lang w:bidi="ar"/>
              </w:rPr>
              <w:t>0.12</w:t>
            </w:r>
          </w:p>
        </w:tc>
      </w:tr>
    </w:tbl>
    <w:p w14:paraId="448FE702">
      <w:pPr>
        <w:pStyle w:val="33"/>
        <w:tabs>
          <w:tab w:val="left" w:pos="6720"/>
        </w:tabs>
        <w:spacing w:line="560" w:lineRule="exact"/>
        <w:ind w:firstLine="0" w:firstLineChars="0"/>
        <w:rPr>
          <w:rFonts w:hint="default" w:ascii="Times New Roman" w:hAnsi="Times New Roman" w:eastAsia="黑体" w:cs="Times New Roman"/>
          <w:b/>
          <w:sz w:val="32"/>
          <w:szCs w:val="32"/>
        </w:rPr>
      </w:pPr>
    </w:p>
    <w:p w14:paraId="01544B20">
      <w:pPr>
        <w:pStyle w:val="33"/>
        <w:numPr>
          <w:ilvl w:val="0"/>
          <w:numId w:val="0"/>
        </w:numPr>
        <w:tabs>
          <w:tab w:val="left" w:pos="6720"/>
        </w:tabs>
        <w:spacing w:line="560" w:lineRule="exact"/>
        <w:ind w:left="479" w:leftChars="228"/>
        <w:rPr>
          <w:rFonts w:hint="default" w:ascii="Times New Roman" w:hAnsi="Times New Roman" w:eastAsia="仿宋_GB2312" w:cs="Times New Roman"/>
          <w:bCs/>
          <w:color w:val="auto"/>
          <w:sz w:val="32"/>
          <w:szCs w:val="32"/>
          <w:highlight w:val="none"/>
        </w:rPr>
      </w:pPr>
    </w:p>
    <w:sectPr>
      <w:headerReference r:id="rId15" w:type="default"/>
      <w:footerReference r:id="rId16"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28BD738-4F0C-4CD8-A5D8-F92B5B97073D}"/>
  </w:font>
  <w:font w:name="黑体">
    <w:panose1 w:val="02010600030101010101"/>
    <w:charset w:val="86"/>
    <w:family w:val="auto"/>
    <w:pitch w:val="default"/>
    <w:sig w:usb0="800002BF" w:usb1="38CF7CFA" w:usb2="00000016" w:usb3="00000000" w:csb0="00040001" w:csb1="00000000"/>
    <w:embedRegular r:id="rId2" w:fontKey="{FFDA1CFB-B1BF-4C42-9ED8-CA915F9D646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170B8912-410F-4C78-91BE-3C3D70BE7F26}"/>
  </w:font>
  <w:font w:name="等线">
    <w:panose1 w:val="02010600030101010101"/>
    <w:charset w:val="86"/>
    <w:family w:val="auto"/>
    <w:pitch w:val="default"/>
    <w:sig w:usb0="A00002BF" w:usb1="38CF7CFA" w:usb2="00000016" w:usb3="00000000" w:csb0="0004000F" w:csb1="00000000"/>
    <w:embedRegular r:id="rId4" w:fontKey="{92C0E22E-8B7A-4BCE-8C7A-17DEAD78D232}"/>
  </w:font>
  <w:font w:name="文鼎小标宋简">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embedRegular r:id="rId5" w:fontKey="{091BE9E8-F2FF-4E22-AE7E-7F35F2B3A4AE}"/>
  </w:font>
  <w:font w:name="仿宋_GB2312">
    <w:panose1 w:val="02010609030101010101"/>
    <w:charset w:val="86"/>
    <w:family w:val="auto"/>
    <w:pitch w:val="default"/>
    <w:sig w:usb0="00000001" w:usb1="080E0000" w:usb2="00000000" w:usb3="00000000" w:csb0="00040000" w:csb1="00000000"/>
    <w:embedRegular r:id="rId6" w:fontKey="{462C134E-E24E-4D33-A26B-572CBC019401}"/>
  </w:font>
  <w:font w:name="方正小标宋_GBK">
    <w:panose1 w:val="03000509000000000000"/>
    <w:charset w:val="86"/>
    <w:family w:val="script"/>
    <w:pitch w:val="default"/>
    <w:sig w:usb0="00000001" w:usb1="080E0000" w:usb2="00000000" w:usb3="00000000" w:csb0="00040000" w:csb1="00000000"/>
    <w:embedRegular r:id="rId7" w:fontKey="{2C46C12A-E0B0-479F-9684-A1F7BD824A8E}"/>
  </w:font>
  <w:font w:name="儷宋 Pro">
    <w:altName w:val="宋体"/>
    <w:panose1 w:val="02020300000000000000"/>
    <w:charset w:val="88"/>
    <w:family w:val="auto"/>
    <w:pitch w:val="default"/>
    <w:sig w:usb0="00000000" w:usb1="00000000" w:usb2="00000016" w:usb3="00000000" w:csb0="00100000" w:csb1="00000000"/>
  </w:font>
  <w:font w:name="方正仿宋_GB2312">
    <w:panose1 w:val="02000000000000000000"/>
    <w:charset w:val="86"/>
    <w:family w:val="auto"/>
    <w:pitch w:val="default"/>
    <w:sig w:usb0="A00002BF" w:usb1="184F6CFA" w:usb2="00000012" w:usb3="00000000" w:csb0="00040001" w:csb1="00000000"/>
    <w:embedRegular r:id="rId8" w:fontKey="{F3D90C5D-48AB-4E6F-8C83-3BD86597A12E}"/>
  </w:font>
  <w:font w:name="楷体_GB2312">
    <w:panose1 w:val="02010609030101010101"/>
    <w:charset w:val="86"/>
    <w:family w:val="auto"/>
    <w:pitch w:val="default"/>
    <w:sig w:usb0="00000001" w:usb1="080E0000" w:usb2="00000000" w:usb3="00000000" w:csb0="00040000" w:csb1="00000000"/>
    <w:embedRegular r:id="rId9" w:fontKey="{AE96DABB-AE41-4687-BB47-AE81A81A6EFB}"/>
  </w:font>
  <w:font w:name="仿宋">
    <w:panose1 w:val="02010609060101010101"/>
    <w:charset w:val="86"/>
    <w:family w:val="auto"/>
    <w:pitch w:val="default"/>
    <w:sig w:usb0="800002BF" w:usb1="38CF7CFA" w:usb2="00000016" w:usb3="00000000" w:csb0="00040001" w:csb1="00000000"/>
    <w:embedRegular r:id="rId10" w:fontKey="{1ADF22B2-76EB-483C-88BD-61929E06CFAF}"/>
  </w:font>
  <w:font w:name="TimesNewRomanPSMT">
    <w:altName w:val="Times New Roman"/>
    <w:panose1 w:val="02020603050405020304"/>
    <w:charset w:val="00"/>
    <w:family w:val="roman"/>
    <w:pitch w:val="default"/>
    <w:sig w:usb0="00000000" w:usb1="00000000" w:usb2="00000009" w:usb3="00000000" w:csb0="400001FF" w:csb1="FFFF0000"/>
  </w:font>
  <w:font w:name="方正仿宋_GBK">
    <w:panose1 w:val="02000000000000000000"/>
    <w:charset w:val="86"/>
    <w:family w:val="auto"/>
    <w:pitch w:val="default"/>
    <w:sig w:usb0="A00002BF" w:usb1="38CF7CFA" w:usb2="00082016" w:usb3="00000000" w:csb0="00040001" w:csb1="00000000"/>
    <w:embedRegular r:id="rId11" w:fontKey="{0C011C8F-BB38-44A3-A866-70B3348FBFD4}"/>
  </w:font>
  <w:font w:name="Cambria Math">
    <w:panose1 w:val="02040503050406030204"/>
    <w:charset w:val="00"/>
    <w:family w:val="roman"/>
    <w:pitch w:val="default"/>
    <w:sig w:usb0="E00002FF" w:usb1="420024FF" w:usb2="00000000" w:usb3="00000000" w:csb0="2000019F" w:csb1="00000000"/>
    <w:embedRegular r:id="rId12" w:fontKey="{1B01574B-ED6E-4E5B-9F5B-2CFC7FBA5D7B}"/>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BB778">
    <w:pPr>
      <w:pStyle w:val="13"/>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EA83A">
                          <w:pPr>
                            <w:pStyle w:val="13"/>
                            <w:rPr>
                              <w:rFonts w:ascii="仿宋_GB2312" w:hAnsi="仿宋_GB2312" w:eastAsia="仿宋_GB2312" w:cs="仿宋_GB2312"/>
                              <w:sz w:val="32"/>
                              <w:szCs w:val="32"/>
                            </w:rPr>
                          </w:pPr>
                          <w:r>
                            <w:rPr>
                              <w:rFonts w:ascii="仿宋_GB2312" w:hAnsi="仿宋_GB2312" w:eastAsia="仿宋_GB2312" w:cs="仿宋_GB2312"/>
                              <w:sz w:val="28"/>
                              <w:szCs w:val="28"/>
                            </w:rPr>
                            <w:fldChar w:fldCharType="begin"/>
                          </w:r>
                          <w:r>
                            <w:rPr>
                              <w:rFonts w:ascii="仿宋_GB2312" w:hAnsi="仿宋_GB2312" w:eastAsia="仿宋_GB2312" w:cs="仿宋_GB2312"/>
                              <w:sz w:val="28"/>
                              <w:szCs w:val="28"/>
                            </w:rPr>
                            <w:instrText xml:space="preserve"> PAGE  \* MERGEFORMAT </w:instrText>
                          </w:r>
                          <w:r>
                            <w:rPr>
                              <w:rFonts w:ascii="仿宋_GB2312" w:hAnsi="仿宋_GB2312" w:eastAsia="仿宋_GB2312" w:cs="仿宋_GB2312"/>
                              <w:sz w:val="28"/>
                              <w:szCs w:val="28"/>
                            </w:rPr>
                            <w:fldChar w:fldCharType="separate"/>
                          </w:r>
                          <w:r>
                            <w:rPr>
                              <w:rFonts w:ascii="仿宋_GB2312" w:hAnsi="仿宋_GB2312" w:eastAsia="仿宋_GB2312" w:cs="仿宋_GB2312"/>
                              <w:sz w:val="28"/>
                              <w:szCs w:val="28"/>
                            </w:rPr>
                            <w:t>1</w:t>
                          </w:r>
                          <w:r>
                            <w:rPr>
                              <w:rFonts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85EA83A">
                    <w:pPr>
                      <w:pStyle w:val="13"/>
                      <w:rPr>
                        <w:rFonts w:ascii="仿宋_GB2312" w:hAnsi="仿宋_GB2312" w:eastAsia="仿宋_GB2312" w:cs="仿宋_GB2312"/>
                        <w:sz w:val="32"/>
                        <w:szCs w:val="32"/>
                      </w:rPr>
                    </w:pPr>
                    <w:r>
                      <w:rPr>
                        <w:rFonts w:ascii="仿宋_GB2312" w:hAnsi="仿宋_GB2312" w:eastAsia="仿宋_GB2312" w:cs="仿宋_GB2312"/>
                        <w:sz w:val="28"/>
                        <w:szCs w:val="28"/>
                      </w:rPr>
                      <w:fldChar w:fldCharType="begin"/>
                    </w:r>
                    <w:r>
                      <w:rPr>
                        <w:rFonts w:ascii="仿宋_GB2312" w:hAnsi="仿宋_GB2312" w:eastAsia="仿宋_GB2312" w:cs="仿宋_GB2312"/>
                        <w:sz w:val="28"/>
                        <w:szCs w:val="28"/>
                      </w:rPr>
                      <w:instrText xml:space="preserve"> PAGE  \* MERGEFORMAT </w:instrText>
                    </w:r>
                    <w:r>
                      <w:rPr>
                        <w:rFonts w:ascii="仿宋_GB2312" w:hAnsi="仿宋_GB2312" w:eastAsia="仿宋_GB2312" w:cs="仿宋_GB2312"/>
                        <w:sz w:val="28"/>
                        <w:szCs w:val="28"/>
                      </w:rPr>
                      <w:fldChar w:fldCharType="separate"/>
                    </w:r>
                    <w:r>
                      <w:rPr>
                        <w:rFonts w:ascii="仿宋_GB2312" w:hAnsi="仿宋_GB2312" w:eastAsia="仿宋_GB2312" w:cs="仿宋_GB2312"/>
                        <w:sz w:val="28"/>
                        <w:szCs w:val="28"/>
                      </w:rPr>
                      <w:t>1</w:t>
                    </w:r>
                    <w:r>
                      <w:rPr>
                        <w:rFonts w:ascii="仿宋_GB2312" w:hAnsi="仿宋_GB2312" w:eastAsia="仿宋_GB2312" w:cs="仿宋_GB2312"/>
                        <w:sz w:val="28"/>
                        <w:szCs w:val="28"/>
                      </w:rPr>
                      <w:fldChar w:fldCharType="end"/>
                    </w:r>
                  </w:p>
                </w:txbxContent>
              </v:textbox>
            </v:shape>
          </w:pict>
        </mc:Fallback>
      </mc:AlternateContent>
    </w:r>
  </w:p>
  <w:p w14:paraId="678051D4">
    <w:pPr>
      <w:pStyle w:val="1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94C14">
    <w:pPr>
      <w:pStyle w:val="13"/>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21CF7">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- 39 -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8021CF7">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- 39 -</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E9D79">
    <w:pPr>
      <w:pStyle w:val="13"/>
      <w:jc w:val="cente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51B0B">
                          <w:pPr>
                            <w:pStyle w:val="13"/>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- 1 -</w:t>
                          </w:r>
                          <w:r>
                            <w:rPr>
                              <w:rFonts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751B0B">
                    <w:pPr>
                      <w:pStyle w:val="13"/>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- 1 -</w:t>
                    </w:r>
                    <w:r>
                      <w:rPr>
                        <w:rFonts w:ascii="仿宋_GB2312" w:hAnsi="仿宋_GB2312" w:eastAsia="仿宋_GB2312" w:cs="仿宋_GB2312"/>
                        <w:sz w:val="32"/>
                        <w:szCs w:val="32"/>
                      </w:rPr>
                      <w:fldChar w:fldCharType="end"/>
                    </w:r>
                  </w:p>
                </w:txbxContent>
              </v:textbox>
            </v:shape>
          </w:pict>
        </mc:Fallback>
      </mc:AlternateContent>
    </w:r>
  </w:p>
  <w:p w14:paraId="1A9EBDF0">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2C8B6">
    <w:pPr>
      <w:pStyle w:val="13"/>
      <w:jc w:val="cente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E9DBD">
                          <w:pPr>
                            <w:pStyle w:val="13"/>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- 1 -</w:t>
                          </w:r>
                          <w:r>
                            <w:rPr>
                              <w:rFonts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87E9DBD">
                    <w:pPr>
                      <w:pStyle w:val="13"/>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- 1 -</w:t>
                    </w:r>
                    <w:r>
                      <w:rPr>
                        <w:rFonts w:ascii="仿宋_GB2312" w:hAnsi="仿宋_GB2312" w:eastAsia="仿宋_GB2312" w:cs="仿宋_GB2312"/>
                        <w:sz w:val="32"/>
                        <w:szCs w:val="32"/>
                      </w:rPr>
                      <w:fldChar w:fldCharType="end"/>
                    </w:r>
                  </w:p>
                </w:txbxContent>
              </v:textbox>
            </v:shape>
          </w:pict>
        </mc:Fallback>
      </mc:AlternateContent>
    </w:r>
  </w:p>
  <w:p w14:paraId="5AE92E29">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76246">
    <w:pPr>
      <w:pStyle w:val="13"/>
      <w:jc w:val="cente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93270">
                          <w:pPr>
                            <w:pStyle w:val="13"/>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- 4 -</w:t>
                          </w:r>
                          <w:r>
                            <w:rPr>
                              <w:rFonts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1893270">
                    <w:pPr>
                      <w:pStyle w:val="13"/>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- 4 -</w:t>
                    </w:r>
                    <w:r>
                      <w:rPr>
                        <w:rFonts w:ascii="仿宋_GB2312" w:hAnsi="仿宋_GB2312" w:eastAsia="仿宋_GB2312" w:cs="仿宋_GB2312"/>
                        <w:sz w:val="32"/>
                        <w:szCs w:val="32"/>
                      </w:rPr>
                      <w:fldChar w:fldCharType="end"/>
                    </w:r>
                  </w:p>
                </w:txbxContent>
              </v:textbox>
            </v:shape>
          </w:pict>
        </mc:Fallback>
      </mc:AlternateContent>
    </w:r>
  </w:p>
  <w:p w14:paraId="14122AE5">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67AA3">
    <w:pPr>
      <w:pStyle w:val="13"/>
      <w:jc w:val="cente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95806">
                          <w:pPr>
                            <w:pStyle w:val="13"/>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- 12 -</w:t>
                          </w:r>
                          <w:r>
                            <w:rPr>
                              <w:rFonts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4495806">
                    <w:pPr>
                      <w:pStyle w:val="13"/>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- 12 -</w:t>
                    </w:r>
                    <w:r>
                      <w:rPr>
                        <w:rFonts w:ascii="仿宋_GB2312" w:hAnsi="仿宋_GB2312" w:eastAsia="仿宋_GB2312" w:cs="仿宋_GB2312"/>
                        <w:sz w:val="32"/>
                        <w:szCs w:val="32"/>
                      </w:rPr>
                      <w:fldChar w:fldCharType="end"/>
                    </w:r>
                  </w:p>
                </w:txbxContent>
              </v:textbox>
            </v:shape>
          </w:pict>
        </mc:Fallback>
      </mc:AlternateContent>
    </w:r>
  </w:p>
  <w:p w14:paraId="4570B799">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6C69C">
    <w:pPr>
      <w:tabs>
        <w:tab w:val="center" w:pos="4153"/>
        <w:tab w:val="right" w:pos="8306"/>
      </w:tabs>
      <w:snapToGrid w:val="0"/>
      <w:spacing w:line="560" w:lineRule="exact"/>
      <w:ind w:firstLine="360" w:firstLineChars="200"/>
      <w:jc w:val="center"/>
      <w:rPr>
        <w:rFonts w:ascii="Calibri" w:hAnsi="Calibri" w:eastAsia="宋体" w:cs="Times New Roman"/>
        <w:sz w:val="18"/>
        <w:szCs w:val="18"/>
      </w:rPr>
    </w:pPr>
    <w:r>
      <w:rPr>
        <w:rFonts w:ascii="Calibri" w:hAnsi="Calibri" w:eastAsia="宋体" w:cs="Times New Roman"/>
        <w:sz w:val="18"/>
        <w:szCs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6C8BF2">
                          <w:pPr>
                            <w:tabs>
                              <w:tab w:val="center" w:pos="4153"/>
                              <w:tab w:val="right" w:pos="8306"/>
                            </w:tabs>
                            <w:snapToGrid w:val="0"/>
                            <w:spacing w:line="56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- 32 -</w:t>
                          </w:r>
                          <w:r>
                            <w:rPr>
                              <w:rFonts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14:paraId="796C8BF2">
                    <w:pPr>
                      <w:tabs>
                        <w:tab w:val="center" w:pos="4153"/>
                        <w:tab w:val="right" w:pos="8306"/>
                      </w:tabs>
                      <w:snapToGrid w:val="0"/>
                      <w:spacing w:line="56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PAGE  \* MERGEFORMAT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- 32 -</w:t>
                    </w:r>
                    <w:r>
                      <w:rPr>
                        <w:rFonts w:ascii="仿宋_GB2312" w:hAnsi="仿宋_GB2312" w:eastAsia="仿宋_GB2312" w:cs="仿宋_GB2312"/>
                        <w:sz w:val="32"/>
                        <w:szCs w:val="32"/>
                      </w:rPr>
                      <w:fldChar w:fldCharType="end"/>
                    </w:r>
                  </w:p>
                </w:txbxContent>
              </v:textbox>
            </v:shape>
          </w:pict>
        </mc:Fallback>
      </mc:AlternateContent>
    </w:r>
  </w:p>
  <w:p w14:paraId="683AF020">
    <w:pPr>
      <w:tabs>
        <w:tab w:val="center" w:pos="4153"/>
        <w:tab w:val="right" w:pos="8306"/>
      </w:tabs>
      <w:snapToGrid w:val="0"/>
      <w:spacing w:line="560" w:lineRule="exact"/>
      <w:ind w:firstLine="360" w:firstLineChars="200"/>
      <w:jc w:val="left"/>
      <w:rPr>
        <w:rFonts w:ascii="Calibri" w:hAnsi="Calibri" w:eastAsia="宋体" w:cs="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6C138">
    <w:pPr>
      <w:snapToGrid w:val="0"/>
      <w:spacing w:line="240" w:lineRule="atLeast"/>
      <w:ind w:firstLine="360" w:firstLineChars="200"/>
      <w:jc w:val="left"/>
      <w:rPr>
        <w:rFonts w:ascii="Times New Roman" w:hAnsi="Times New Roman" w:eastAsia="仿宋_GB2312"/>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2B4D8">
                          <w:pPr>
                            <w:pStyle w:val="13"/>
                          </w:pPr>
                          <w:r>
                            <w:fldChar w:fldCharType="begin"/>
                          </w:r>
                          <w:r>
                            <w:instrText xml:space="preserve"> PAGE  \* MERGEFORMAT </w:instrText>
                          </w:r>
                          <w:r>
                            <w:fldChar w:fldCharType="separate"/>
                          </w:r>
                          <w:r>
                            <w:t>- 34 -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922B4D8">
                    <w:pPr>
                      <w:pStyle w:val="13"/>
                    </w:pPr>
                    <w:r>
                      <w:fldChar w:fldCharType="begin"/>
                    </w:r>
                    <w:r>
                      <w:instrText xml:space="preserve"> PAGE  \* MERGEFORMAT </w:instrText>
                    </w:r>
                    <w:r>
                      <w:fldChar w:fldCharType="separate"/>
                    </w:r>
                    <w:r>
                      <w:t>- 34 -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D9C62">
    <w:pPr>
      <w:snapToGrid w:val="0"/>
      <w:spacing w:line="240" w:lineRule="atLeast"/>
      <w:ind w:firstLine="360" w:firstLineChars="200"/>
      <w:jc w:val="left"/>
      <w:rPr>
        <w:rFonts w:ascii="Times New Roman" w:hAnsi="Times New Roman" w:eastAsia="仿宋_GB2312"/>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1DFE3">
    <w:pPr>
      <w:snapToGrid w:val="0"/>
      <w:spacing w:line="240" w:lineRule="atLeast"/>
      <w:ind w:firstLine="360" w:firstLineChars="200"/>
      <w:jc w:val="left"/>
      <w:rPr>
        <w:rFonts w:ascii="Times New Roman" w:hAnsi="Times New Roman" w:eastAsia="仿宋_GB2312"/>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7E583">
    <w:pPr>
      <w:snapToGrid w:val="0"/>
      <w:spacing w:line="240" w:lineRule="atLeast"/>
      <w:ind w:firstLine="360" w:firstLineChars="200"/>
      <w:jc w:val="center"/>
      <w:rPr>
        <w:rFonts w:ascii="Times New Roman" w:hAnsi="Times New Roman" w:eastAsia="仿宋_GB231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8C03">
    <w:pPr>
      <w:snapToGrid w:val="0"/>
      <w:spacing w:line="240" w:lineRule="atLeast"/>
      <w:ind w:firstLine="360" w:firstLineChars="200"/>
      <w:jc w:val="center"/>
      <w:rPr>
        <w:rFonts w:ascii="Times New Roman" w:hAnsi="Times New Roman" w:eastAsia="仿宋_GB2312"/>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67BA4">
    <w:pPr>
      <w:snapToGrid w:val="0"/>
      <w:spacing w:line="240" w:lineRule="atLeast"/>
      <w:ind w:firstLine="360" w:firstLineChars="200"/>
      <w:jc w:val="center"/>
      <w:rPr>
        <w:rFonts w:ascii="Times New Roman" w:hAnsi="Times New Roman" w:eastAsia="仿宋_GB2312"/>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588FE">
    <w:pPr>
      <w:pStyle w:val="1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B6CA6"/>
    <w:multiLevelType w:val="singleLevel"/>
    <w:tmpl w:val="813B6CA6"/>
    <w:lvl w:ilvl="0" w:tentative="0">
      <w:start w:val="1"/>
      <w:numFmt w:val="chineseCounting"/>
      <w:suff w:val="nothing"/>
      <w:lvlText w:val="（%1）"/>
      <w:lvlJc w:val="left"/>
      <w:pPr>
        <w:ind w:left="0" w:firstLine="420"/>
      </w:pPr>
      <w:rPr>
        <w:rFonts w:hint="eastAsia"/>
      </w:rPr>
    </w:lvl>
  </w:abstractNum>
  <w:abstractNum w:abstractNumId="1">
    <w:nsid w:val="96268122"/>
    <w:multiLevelType w:val="multilevel"/>
    <w:tmpl w:val="96268122"/>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A4DE88AC"/>
    <w:multiLevelType w:val="singleLevel"/>
    <w:tmpl w:val="A4DE88AC"/>
    <w:lvl w:ilvl="0" w:tentative="0">
      <w:start w:val="1"/>
      <w:numFmt w:val="decimal"/>
      <w:lvlText w:val="%1."/>
      <w:lvlJc w:val="left"/>
      <w:pPr>
        <w:ind w:left="425" w:hanging="425"/>
      </w:pPr>
      <w:rPr>
        <w:rFonts w:hint="default"/>
      </w:rPr>
    </w:lvl>
  </w:abstractNum>
  <w:abstractNum w:abstractNumId="3">
    <w:nsid w:val="AA62292E"/>
    <w:multiLevelType w:val="singleLevel"/>
    <w:tmpl w:val="AA62292E"/>
    <w:lvl w:ilvl="0" w:tentative="0">
      <w:start w:val="2"/>
      <w:numFmt w:val="decimal"/>
      <w:suff w:val="nothing"/>
      <w:lvlText w:val="%1."/>
      <w:lvlJc w:val="left"/>
    </w:lvl>
  </w:abstractNum>
  <w:abstractNum w:abstractNumId="4">
    <w:nsid w:val="B4E108D6"/>
    <w:multiLevelType w:val="singleLevel"/>
    <w:tmpl w:val="B4E108D6"/>
    <w:lvl w:ilvl="0" w:tentative="0">
      <w:start w:val="1"/>
      <w:numFmt w:val="chineseCounting"/>
      <w:suff w:val="nothing"/>
      <w:lvlText w:val="（%1）"/>
      <w:lvlJc w:val="left"/>
      <w:rPr>
        <w:rFonts w:hint="eastAsia"/>
      </w:rPr>
    </w:lvl>
  </w:abstractNum>
  <w:abstractNum w:abstractNumId="5">
    <w:nsid w:val="C251235A"/>
    <w:multiLevelType w:val="singleLevel"/>
    <w:tmpl w:val="C251235A"/>
    <w:lvl w:ilvl="0" w:tentative="0">
      <w:start w:val="1"/>
      <w:numFmt w:val="decimal"/>
      <w:suff w:val="nothing"/>
      <w:lvlText w:val="%1."/>
      <w:lvlJc w:val="left"/>
      <w:pPr>
        <w:ind w:left="454" w:hanging="454"/>
      </w:pPr>
      <w:rPr>
        <w:rFonts w:hint="default" w:ascii="仿宋_GB2312" w:hAnsi="仿宋_GB2312" w:eastAsia="仿宋_GB2312" w:cs="仿宋_GB2312"/>
        <w:color w:val="auto"/>
      </w:rPr>
    </w:lvl>
  </w:abstractNum>
  <w:abstractNum w:abstractNumId="6">
    <w:nsid w:val="C7916853"/>
    <w:multiLevelType w:val="multilevel"/>
    <w:tmpl w:val="C7916853"/>
    <w:lvl w:ilvl="0" w:tentative="0">
      <w:start w:val="1"/>
      <w:numFmt w:val="chineseCountingThousand"/>
      <w:suff w:val="space"/>
      <w:lvlText w:val="第%1条"/>
      <w:lvlJc w:val="left"/>
      <w:pPr>
        <w:ind w:left="0" w:firstLine="0"/>
      </w:pPr>
      <w:rPr>
        <w:rFonts w:hint="eastAsia" w:ascii="仿宋" w:hAnsi="仿宋" w:eastAsia="仿宋" w:cs="仿宋"/>
        <w:b/>
        <w:sz w:val="32"/>
        <w:u w:val="none"/>
        <w:lang w:val="en-US"/>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7">
    <w:nsid w:val="F9430E9E"/>
    <w:multiLevelType w:val="singleLevel"/>
    <w:tmpl w:val="F9430E9E"/>
    <w:lvl w:ilvl="0" w:tentative="0">
      <w:start w:val="1"/>
      <w:numFmt w:val="chineseCounting"/>
      <w:suff w:val="nothing"/>
      <w:lvlText w:val="（%1）"/>
      <w:lvlJc w:val="left"/>
      <w:rPr>
        <w:rFonts w:hint="eastAsia"/>
      </w:rPr>
    </w:lvl>
  </w:abstractNum>
  <w:abstractNum w:abstractNumId="8">
    <w:nsid w:val="301DE684"/>
    <w:multiLevelType w:val="multilevel"/>
    <w:tmpl w:val="301DE684"/>
    <w:lvl w:ilvl="0" w:tentative="0">
      <w:start w:val="1"/>
      <w:numFmt w:val="chineseCounting"/>
      <w:suff w:val="nothing"/>
      <w:lvlText w:val="第%1章　"/>
      <w:lvlJc w:val="center"/>
      <w:pPr>
        <w:tabs>
          <w:tab w:val="left" w:pos="0"/>
        </w:tabs>
        <w:ind w:left="0" w:firstLine="0"/>
      </w:pPr>
      <w:rPr>
        <w:rFonts w:hint="eastAsia" w:eastAsia="黑体"/>
      </w:rPr>
    </w:lvl>
    <w:lvl w:ilvl="1" w:tentative="0">
      <w:start w:val="1"/>
      <w:numFmt w:val="chineseCounting"/>
      <w:suff w:val="nothing"/>
      <w:lvlText w:val="第%2节　"/>
      <w:lvlJc w:val="center"/>
      <w:pPr>
        <w:tabs>
          <w:tab w:val="left" w:pos="0"/>
        </w:tabs>
        <w:ind w:left="0" w:firstLine="0"/>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9">
    <w:nsid w:val="3DE8F487"/>
    <w:multiLevelType w:val="singleLevel"/>
    <w:tmpl w:val="3DE8F487"/>
    <w:lvl w:ilvl="0" w:tentative="0">
      <w:start w:val="1"/>
      <w:numFmt w:val="chineseCounting"/>
      <w:suff w:val="nothing"/>
      <w:lvlText w:val="%1、"/>
      <w:lvlJc w:val="left"/>
      <w:pPr>
        <w:tabs>
          <w:tab w:val="left" w:pos="0"/>
        </w:tabs>
      </w:pPr>
      <w:rPr>
        <w:rFonts w:hint="eastAsia" w:eastAsia="黑体"/>
        <w:b w:val="0"/>
        <w:bCs w:val="0"/>
        <w:szCs w:val="32"/>
      </w:rPr>
    </w:lvl>
  </w:abstractNum>
  <w:abstractNum w:abstractNumId="10">
    <w:nsid w:val="40F73FBE"/>
    <w:multiLevelType w:val="multilevel"/>
    <w:tmpl w:val="40F73FBE"/>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1">
    <w:nsid w:val="4BADBAAE"/>
    <w:multiLevelType w:val="singleLevel"/>
    <w:tmpl w:val="4BADBAAE"/>
    <w:lvl w:ilvl="0" w:tentative="0">
      <w:start w:val="1"/>
      <w:numFmt w:val="decimal"/>
      <w:suff w:val="space"/>
      <w:lvlText w:val="%1."/>
      <w:lvlJc w:val="left"/>
    </w:lvl>
  </w:abstractNum>
  <w:abstractNum w:abstractNumId="12">
    <w:nsid w:val="4F197894"/>
    <w:multiLevelType w:val="multilevel"/>
    <w:tmpl w:val="4F197894"/>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3">
    <w:nsid w:val="502569F5"/>
    <w:multiLevelType w:val="multilevel"/>
    <w:tmpl w:val="502569F5"/>
    <w:lvl w:ilvl="0" w:tentative="0">
      <w:start w:val="1"/>
      <w:numFmt w:val="decimal"/>
      <w:lvlText w:val="%1"/>
      <w:lvlJc w:val="left"/>
      <w:pPr>
        <w:ind w:left="425" w:hanging="425"/>
      </w:pPr>
    </w:lvl>
    <w:lvl w:ilvl="1" w:tentative="0">
      <w:start w:val="1"/>
      <w:numFmt w:val="decimal"/>
      <w:lvlText w:val="%1.%2"/>
      <w:lvlJc w:val="left"/>
      <w:pPr>
        <w:ind w:left="992" w:hanging="567"/>
      </w:pPr>
      <w:rPr>
        <w:rFonts w:eastAsia="仿宋_GB2312"/>
        <w:sz w:val="28"/>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4">
    <w:nsid w:val="5836D807"/>
    <w:multiLevelType w:val="singleLevel"/>
    <w:tmpl w:val="5836D807"/>
    <w:lvl w:ilvl="0" w:tentative="0">
      <w:start w:val="1"/>
      <w:numFmt w:val="chineseCounting"/>
      <w:suff w:val="nothing"/>
      <w:lvlText w:val="（%1）"/>
      <w:lvlJc w:val="left"/>
      <w:rPr>
        <w:rFonts w:hint="eastAsia"/>
      </w:rPr>
    </w:lvl>
  </w:abstractNum>
  <w:abstractNum w:abstractNumId="15">
    <w:nsid w:val="5D45FDF8"/>
    <w:multiLevelType w:val="singleLevel"/>
    <w:tmpl w:val="5D45FDF8"/>
    <w:lvl w:ilvl="0" w:tentative="0">
      <w:start w:val="1"/>
      <w:numFmt w:val="chineseCounting"/>
      <w:suff w:val="nothing"/>
      <w:lvlText w:val="（%1）"/>
      <w:lvlJc w:val="left"/>
      <w:pPr>
        <w:ind w:left="0" w:firstLine="420"/>
      </w:pPr>
      <w:rPr>
        <w:rFonts w:hint="eastAsia"/>
      </w:rPr>
    </w:lvl>
  </w:abstractNum>
  <w:abstractNum w:abstractNumId="16">
    <w:nsid w:val="68C2E228"/>
    <w:multiLevelType w:val="singleLevel"/>
    <w:tmpl w:val="68C2E228"/>
    <w:lvl w:ilvl="0" w:tentative="0">
      <w:start w:val="1"/>
      <w:numFmt w:val="decimal"/>
      <w:suff w:val="nothing"/>
      <w:lvlText w:val="%1."/>
      <w:lvlJc w:val="left"/>
      <w:pPr>
        <w:ind w:left="456" w:hanging="454"/>
      </w:pPr>
      <w:rPr>
        <w:rFonts w:hint="default" w:ascii="仿宋_GB2312" w:hAnsi="仿宋_GB2312" w:eastAsia="仿宋_GB2312" w:cs="仿宋_GB2312"/>
      </w:rPr>
    </w:lvl>
  </w:abstractNum>
  <w:abstractNum w:abstractNumId="17">
    <w:nsid w:val="75F2C1A7"/>
    <w:multiLevelType w:val="singleLevel"/>
    <w:tmpl w:val="75F2C1A7"/>
    <w:lvl w:ilvl="0" w:tentative="0">
      <w:start w:val="1"/>
      <w:numFmt w:val="chineseCounting"/>
      <w:suff w:val="nothing"/>
      <w:lvlText w:val="（%1）"/>
      <w:lvlJc w:val="left"/>
      <w:pPr>
        <w:ind w:left="0" w:firstLine="420"/>
      </w:pPr>
      <w:rPr>
        <w:rFonts w:hint="eastAsia"/>
      </w:rPr>
    </w:lvl>
  </w:abstractNum>
  <w:abstractNum w:abstractNumId="18">
    <w:nsid w:val="7C821BE9"/>
    <w:multiLevelType w:val="singleLevel"/>
    <w:tmpl w:val="7C821BE9"/>
    <w:lvl w:ilvl="0" w:tentative="0">
      <w:start w:val="1"/>
      <w:numFmt w:val="chineseCounting"/>
      <w:suff w:val="nothing"/>
      <w:lvlText w:val="（%1）"/>
      <w:lvlJc w:val="left"/>
      <w:rPr>
        <w:rFonts w:hint="eastAsia"/>
      </w:rPr>
    </w:lvl>
  </w:abstractNum>
  <w:num w:numId="1">
    <w:abstractNumId w:val="13"/>
    <w:lvlOverride w:ilvl="0">
      <w:lvl w:ilvl="0" w:tentative="1">
        <w:start w:val="1"/>
        <w:numFmt w:val="decimal"/>
        <w:lvlText w:val="%1"/>
        <w:lvlJc w:val="left"/>
        <w:pPr>
          <w:ind w:left="425" w:hanging="425"/>
        </w:pPr>
      </w:lvl>
    </w:lvlOverride>
    <w:lvlOverride w:ilvl="1">
      <w:lvl w:ilvl="1" w:tentative="1">
        <w:start w:val="1"/>
        <w:numFmt w:val="decimal"/>
        <w:pStyle w:val="4"/>
        <w:lvlText w:val="%1.%2"/>
        <w:lvlJc w:val="left"/>
        <w:pPr>
          <w:ind w:left="992" w:hanging="567"/>
        </w:pPr>
        <w:rPr>
          <w:rFonts w:eastAsia="仿宋_GB2312"/>
          <w:sz w:val="28"/>
        </w:rPr>
      </w:lvl>
    </w:lvlOverride>
    <w:lvlOverride w:ilvl="2">
      <w:lvl w:ilvl="2" w:tentative="1">
        <w:start w:val="1"/>
        <w:numFmt w:val="decimal"/>
        <w:lvlText w:val="%1.%2.%3"/>
        <w:lvlJc w:val="left"/>
        <w:pPr>
          <w:ind w:left="1418" w:hanging="567"/>
        </w:pPr>
      </w:lvl>
    </w:lvlOverride>
    <w:lvlOverride w:ilvl="3">
      <w:lvl w:ilvl="3" w:tentative="1">
        <w:start w:val="1"/>
        <w:numFmt w:val="decimal"/>
        <w:lvlText w:val="%1.%2.%3.%4"/>
        <w:lvlJc w:val="left"/>
        <w:pPr>
          <w:ind w:left="1984" w:hanging="708"/>
        </w:pPr>
      </w:lvl>
    </w:lvlOverride>
    <w:lvlOverride w:ilvl="4">
      <w:lvl w:ilvl="4" w:tentative="1">
        <w:start w:val="1"/>
        <w:numFmt w:val="decimal"/>
        <w:lvlText w:val="%1.%2.%3.%4.%5"/>
        <w:lvlJc w:val="left"/>
        <w:pPr>
          <w:ind w:left="2551" w:hanging="850"/>
        </w:pPr>
      </w:lvl>
    </w:lvlOverride>
    <w:lvlOverride w:ilvl="5">
      <w:lvl w:ilvl="5" w:tentative="1">
        <w:start w:val="1"/>
        <w:numFmt w:val="decimal"/>
        <w:lvlText w:val="%1.%2.%3.%4.%5.%6"/>
        <w:lvlJc w:val="left"/>
        <w:pPr>
          <w:ind w:left="3260" w:hanging="1134"/>
        </w:pPr>
      </w:lvl>
    </w:lvlOverride>
    <w:lvlOverride w:ilvl="6">
      <w:lvl w:ilvl="6" w:tentative="1">
        <w:start w:val="1"/>
        <w:numFmt w:val="decimal"/>
        <w:lvlText w:val="%1.%2.%3.%4.%5.%6.%7"/>
        <w:lvlJc w:val="left"/>
        <w:pPr>
          <w:ind w:left="3827" w:hanging="1276"/>
        </w:pPr>
      </w:lvl>
    </w:lvlOverride>
    <w:lvlOverride w:ilvl="7">
      <w:lvl w:ilvl="7" w:tentative="1">
        <w:start w:val="1"/>
        <w:numFmt w:val="decimal"/>
        <w:lvlText w:val="%1.%2.%3.%4.%5.%6.%7.%8"/>
        <w:lvlJc w:val="left"/>
        <w:pPr>
          <w:ind w:left="4394" w:hanging="1418"/>
        </w:pPr>
      </w:lvl>
    </w:lvlOverride>
    <w:lvlOverride w:ilvl="8">
      <w:lvl w:ilvl="8" w:tentative="1">
        <w:start w:val="1"/>
        <w:numFmt w:val="decimal"/>
        <w:lvlText w:val="%1.%2.%3.%4.%5.%6.%7.%8.%9"/>
        <w:lvlJc w:val="left"/>
        <w:pPr>
          <w:ind w:left="5102" w:hanging="1700"/>
        </w:pPr>
      </w:lvl>
    </w:lvlOverride>
  </w:num>
  <w:num w:numId="2">
    <w:abstractNumId w:val="10"/>
  </w:num>
  <w:num w:numId="3">
    <w:abstractNumId w:val="1"/>
  </w:num>
  <w:num w:numId="4">
    <w:abstractNumId w:val="8"/>
  </w:num>
  <w:num w:numId="5">
    <w:abstractNumId w:val="6"/>
  </w:num>
  <w:num w:numId="6">
    <w:abstractNumId w:val="18"/>
  </w:num>
  <w:num w:numId="7">
    <w:abstractNumId w:val="4"/>
  </w:num>
  <w:num w:numId="8">
    <w:abstractNumId w:val="14"/>
  </w:num>
  <w:num w:numId="9">
    <w:abstractNumId w:val="7"/>
  </w:num>
  <w:num w:numId="10">
    <w:abstractNumId w:val="12"/>
  </w:num>
  <w:num w:numId="11">
    <w:abstractNumId w:val="2"/>
  </w:num>
  <w:num w:numId="12">
    <w:abstractNumId w:val="11"/>
  </w:num>
  <w:num w:numId="13">
    <w:abstractNumId w:val="9"/>
  </w:num>
  <w:num w:numId="14">
    <w:abstractNumId w:val="17"/>
  </w:num>
  <w:num w:numId="15">
    <w:abstractNumId w:val="0"/>
  </w:num>
  <w:num w:numId="16">
    <w:abstractNumId w:val="15"/>
  </w:num>
  <w:num w:numId="17">
    <w:abstractNumId w:val="3"/>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714F9B"/>
    <w:rsid w:val="00047D12"/>
    <w:rsid w:val="00071CB4"/>
    <w:rsid w:val="0018274C"/>
    <w:rsid w:val="001A7703"/>
    <w:rsid w:val="00274068"/>
    <w:rsid w:val="00282A81"/>
    <w:rsid w:val="00285437"/>
    <w:rsid w:val="002B5BCC"/>
    <w:rsid w:val="003662F0"/>
    <w:rsid w:val="00416146"/>
    <w:rsid w:val="004F59CE"/>
    <w:rsid w:val="0060221E"/>
    <w:rsid w:val="006540DD"/>
    <w:rsid w:val="00684689"/>
    <w:rsid w:val="006A22E6"/>
    <w:rsid w:val="006E6CDC"/>
    <w:rsid w:val="00714F9B"/>
    <w:rsid w:val="007625D0"/>
    <w:rsid w:val="007F4E2E"/>
    <w:rsid w:val="008A7A24"/>
    <w:rsid w:val="00934E3F"/>
    <w:rsid w:val="009C4C40"/>
    <w:rsid w:val="009F2E6D"/>
    <w:rsid w:val="00A23E45"/>
    <w:rsid w:val="00A52328"/>
    <w:rsid w:val="00AC2E0D"/>
    <w:rsid w:val="00AF65B3"/>
    <w:rsid w:val="00B464A6"/>
    <w:rsid w:val="00BD6F2F"/>
    <w:rsid w:val="00C72B5F"/>
    <w:rsid w:val="00D26D9F"/>
    <w:rsid w:val="00D62CCB"/>
    <w:rsid w:val="00D92B49"/>
    <w:rsid w:val="00DA2BFA"/>
    <w:rsid w:val="00DF1010"/>
    <w:rsid w:val="00E66107"/>
    <w:rsid w:val="00E84814"/>
    <w:rsid w:val="00EC486D"/>
    <w:rsid w:val="00ED1315"/>
    <w:rsid w:val="00F4405A"/>
    <w:rsid w:val="00F528A9"/>
    <w:rsid w:val="00FA00D5"/>
    <w:rsid w:val="010333FC"/>
    <w:rsid w:val="010B22B0"/>
    <w:rsid w:val="011151D6"/>
    <w:rsid w:val="01191618"/>
    <w:rsid w:val="0119725E"/>
    <w:rsid w:val="012279BE"/>
    <w:rsid w:val="01311D17"/>
    <w:rsid w:val="013B5608"/>
    <w:rsid w:val="014D28C9"/>
    <w:rsid w:val="016A6FD7"/>
    <w:rsid w:val="019771E5"/>
    <w:rsid w:val="01A00C4B"/>
    <w:rsid w:val="01A21D3D"/>
    <w:rsid w:val="01C25065"/>
    <w:rsid w:val="01D66646"/>
    <w:rsid w:val="020C396B"/>
    <w:rsid w:val="02182ED7"/>
    <w:rsid w:val="02201D8C"/>
    <w:rsid w:val="0264611C"/>
    <w:rsid w:val="029A7359"/>
    <w:rsid w:val="02B640B5"/>
    <w:rsid w:val="02BE598D"/>
    <w:rsid w:val="02CD0E92"/>
    <w:rsid w:val="02D0730E"/>
    <w:rsid w:val="02E958D7"/>
    <w:rsid w:val="02EB05EB"/>
    <w:rsid w:val="02EF1E8A"/>
    <w:rsid w:val="032B6C3A"/>
    <w:rsid w:val="033248DF"/>
    <w:rsid w:val="03411FB9"/>
    <w:rsid w:val="035358A0"/>
    <w:rsid w:val="036068E4"/>
    <w:rsid w:val="038720C2"/>
    <w:rsid w:val="03897016"/>
    <w:rsid w:val="03A964DC"/>
    <w:rsid w:val="03F51722"/>
    <w:rsid w:val="04206073"/>
    <w:rsid w:val="04221DEB"/>
    <w:rsid w:val="043372C4"/>
    <w:rsid w:val="043953C0"/>
    <w:rsid w:val="0441390A"/>
    <w:rsid w:val="0451447E"/>
    <w:rsid w:val="045E1BB5"/>
    <w:rsid w:val="046D71A3"/>
    <w:rsid w:val="0491294B"/>
    <w:rsid w:val="04A61E03"/>
    <w:rsid w:val="04AD1C4E"/>
    <w:rsid w:val="04E81B1A"/>
    <w:rsid w:val="04E946B7"/>
    <w:rsid w:val="04ED23F9"/>
    <w:rsid w:val="04F026C1"/>
    <w:rsid w:val="04F55751"/>
    <w:rsid w:val="05057929"/>
    <w:rsid w:val="051261E1"/>
    <w:rsid w:val="051316F7"/>
    <w:rsid w:val="052B1173"/>
    <w:rsid w:val="05375D0C"/>
    <w:rsid w:val="055661F0"/>
    <w:rsid w:val="057F4A66"/>
    <w:rsid w:val="059462A4"/>
    <w:rsid w:val="05C07B0D"/>
    <w:rsid w:val="05C72C1A"/>
    <w:rsid w:val="05C96278"/>
    <w:rsid w:val="05EB4BE0"/>
    <w:rsid w:val="05FF12E2"/>
    <w:rsid w:val="06083D64"/>
    <w:rsid w:val="060E6ACB"/>
    <w:rsid w:val="061A5470"/>
    <w:rsid w:val="063310F8"/>
    <w:rsid w:val="06677F89"/>
    <w:rsid w:val="06A905A2"/>
    <w:rsid w:val="06C65207"/>
    <w:rsid w:val="06D373CC"/>
    <w:rsid w:val="06E447B4"/>
    <w:rsid w:val="07163DF5"/>
    <w:rsid w:val="07573D64"/>
    <w:rsid w:val="075E75DE"/>
    <w:rsid w:val="07691ADF"/>
    <w:rsid w:val="07DD57CB"/>
    <w:rsid w:val="07E55609"/>
    <w:rsid w:val="07F17513"/>
    <w:rsid w:val="07FB2034"/>
    <w:rsid w:val="08015792"/>
    <w:rsid w:val="0824157E"/>
    <w:rsid w:val="08284B9B"/>
    <w:rsid w:val="085E5D9B"/>
    <w:rsid w:val="087D7F38"/>
    <w:rsid w:val="088F199B"/>
    <w:rsid w:val="08DB33FB"/>
    <w:rsid w:val="08E753B1"/>
    <w:rsid w:val="090B5543"/>
    <w:rsid w:val="091C32AD"/>
    <w:rsid w:val="091F2D9D"/>
    <w:rsid w:val="0922463B"/>
    <w:rsid w:val="09394A23"/>
    <w:rsid w:val="094620D8"/>
    <w:rsid w:val="0958443C"/>
    <w:rsid w:val="095A3DD5"/>
    <w:rsid w:val="09691794"/>
    <w:rsid w:val="09772956"/>
    <w:rsid w:val="09A82D92"/>
    <w:rsid w:val="09AB63DF"/>
    <w:rsid w:val="09B27FD2"/>
    <w:rsid w:val="09B554AF"/>
    <w:rsid w:val="09BB1E77"/>
    <w:rsid w:val="09C33728"/>
    <w:rsid w:val="09CE4429"/>
    <w:rsid w:val="0A036202"/>
    <w:rsid w:val="0A2867FB"/>
    <w:rsid w:val="0A4B2259"/>
    <w:rsid w:val="0A5E16A3"/>
    <w:rsid w:val="0A870BFA"/>
    <w:rsid w:val="0A8A27F5"/>
    <w:rsid w:val="0A8A6AF0"/>
    <w:rsid w:val="0AA91C8A"/>
    <w:rsid w:val="0AC7549A"/>
    <w:rsid w:val="0AFA13CC"/>
    <w:rsid w:val="0B0F0FE8"/>
    <w:rsid w:val="0B1C3A38"/>
    <w:rsid w:val="0B3649D6"/>
    <w:rsid w:val="0B4458EE"/>
    <w:rsid w:val="0B4810EE"/>
    <w:rsid w:val="0B5D3084"/>
    <w:rsid w:val="0B6C7DF0"/>
    <w:rsid w:val="0B7F0DBF"/>
    <w:rsid w:val="0B9171B9"/>
    <w:rsid w:val="0B9C06D5"/>
    <w:rsid w:val="0BF17A23"/>
    <w:rsid w:val="0BFC4EE9"/>
    <w:rsid w:val="0C1C0FEB"/>
    <w:rsid w:val="0C2C216E"/>
    <w:rsid w:val="0C303605"/>
    <w:rsid w:val="0C3B4EC0"/>
    <w:rsid w:val="0C3F7D74"/>
    <w:rsid w:val="0C692CAD"/>
    <w:rsid w:val="0C8A75A3"/>
    <w:rsid w:val="0CA710DF"/>
    <w:rsid w:val="0CC632E2"/>
    <w:rsid w:val="0D044784"/>
    <w:rsid w:val="0D1A0E57"/>
    <w:rsid w:val="0D1C7510"/>
    <w:rsid w:val="0D2B6529"/>
    <w:rsid w:val="0D3835BD"/>
    <w:rsid w:val="0D4728C2"/>
    <w:rsid w:val="0D4E1EA3"/>
    <w:rsid w:val="0D5D3CC1"/>
    <w:rsid w:val="0D716E14"/>
    <w:rsid w:val="0D887C08"/>
    <w:rsid w:val="0DC849FA"/>
    <w:rsid w:val="0DDA3736"/>
    <w:rsid w:val="0DE819AF"/>
    <w:rsid w:val="0DE907B1"/>
    <w:rsid w:val="0DF5714A"/>
    <w:rsid w:val="0E0A2E6E"/>
    <w:rsid w:val="0E2E3EEC"/>
    <w:rsid w:val="0E4312DC"/>
    <w:rsid w:val="0E6548C0"/>
    <w:rsid w:val="0E6B438E"/>
    <w:rsid w:val="0E8649CF"/>
    <w:rsid w:val="0E963B01"/>
    <w:rsid w:val="0E9953A0"/>
    <w:rsid w:val="0EAA3109"/>
    <w:rsid w:val="0ECE389A"/>
    <w:rsid w:val="0EF12AE6"/>
    <w:rsid w:val="0F152C78"/>
    <w:rsid w:val="0F1A369F"/>
    <w:rsid w:val="0F1A64E0"/>
    <w:rsid w:val="0F496B20"/>
    <w:rsid w:val="0F5C5EA3"/>
    <w:rsid w:val="0F5F4247"/>
    <w:rsid w:val="0F60008A"/>
    <w:rsid w:val="0F692FC4"/>
    <w:rsid w:val="0F7571BB"/>
    <w:rsid w:val="0F87344A"/>
    <w:rsid w:val="0F8D3A92"/>
    <w:rsid w:val="0FB66BBB"/>
    <w:rsid w:val="0FC01D43"/>
    <w:rsid w:val="0FC56ADA"/>
    <w:rsid w:val="0FF94348"/>
    <w:rsid w:val="0FFB0198"/>
    <w:rsid w:val="0FFE025C"/>
    <w:rsid w:val="102A4DA1"/>
    <w:rsid w:val="1035205D"/>
    <w:rsid w:val="104A6951"/>
    <w:rsid w:val="1071652D"/>
    <w:rsid w:val="10777534"/>
    <w:rsid w:val="10AA362B"/>
    <w:rsid w:val="10BA43DB"/>
    <w:rsid w:val="10D40755"/>
    <w:rsid w:val="10E420BF"/>
    <w:rsid w:val="10F468BD"/>
    <w:rsid w:val="110D5B8C"/>
    <w:rsid w:val="11101BD9"/>
    <w:rsid w:val="1112016E"/>
    <w:rsid w:val="112D6828"/>
    <w:rsid w:val="11380EA0"/>
    <w:rsid w:val="113A4C18"/>
    <w:rsid w:val="11671785"/>
    <w:rsid w:val="11891938"/>
    <w:rsid w:val="1198154A"/>
    <w:rsid w:val="11BA3663"/>
    <w:rsid w:val="11DB356D"/>
    <w:rsid w:val="11E6747B"/>
    <w:rsid w:val="121015B2"/>
    <w:rsid w:val="121511E1"/>
    <w:rsid w:val="12296A3A"/>
    <w:rsid w:val="123A6B73"/>
    <w:rsid w:val="12490E8B"/>
    <w:rsid w:val="12491C54"/>
    <w:rsid w:val="126741BF"/>
    <w:rsid w:val="126E6471"/>
    <w:rsid w:val="128B1F34"/>
    <w:rsid w:val="12A63CA4"/>
    <w:rsid w:val="12CF3E77"/>
    <w:rsid w:val="12ED1816"/>
    <w:rsid w:val="12ED3AC1"/>
    <w:rsid w:val="12F10346"/>
    <w:rsid w:val="12FE1894"/>
    <w:rsid w:val="130F0AE6"/>
    <w:rsid w:val="130F318F"/>
    <w:rsid w:val="132E255A"/>
    <w:rsid w:val="13484F1B"/>
    <w:rsid w:val="1352499F"/>
    <w:rsid w:val="137632B1"/>
    <w:rsid w:val="13AB701B"/>
    <w:rsid w:val="13CF716E"/>
    <w:rsid w:val="13D72A40"/>
    <w:rsid w:val="13E55910"/>
    <w:rsid w:val="13F53078"/>
    <w:rsid w:val="140C087D"/>
    <w:rsid w:val="140F35EF"/>
    <w:rsid w:val="14526B6F"/>
    <w:rsid w:val="1456056D"/>
    <w:rsid w:val="145C29E6"/>
    <w:rsid w:val="146705D2"/>
    <w:rsid w:val="1494463F"/>
    <w:rsid w:val="14A405FA"/>
    <w:rsid w:val="14AD324E"/>
    <w:rsid w:val="14AE7A5B"/>
    <w:rsid w:val="14C842E9"/>
    <w:rsid w:val="14F72A26"/>
    <w:rsid w:val="14FA1F7A"/>
    <w:rsid w:val="15096D11"/>
    <w:rsid w:val="15170DCC"/>
    <w:rsid w:val="151C4634"/>
    <w:rsid w:val="152318E3"/>
    <w:rsid w:val="153324B0"/>
    <w:rsid w:val="153E24B0"/>
    <w:rsid w:val="15711DB0"/>
    <w:rsid w:val="159D5775"/>
    <w:rsid w:val="15A01A35"/>
    <w:rsid w:val="15B331C8"/>
    <w:rsid w:val="15B605E5"/>
    <w:rsid w:val="15FB107D"/>
    <w:rsid w:val="15FF3D3A"/>
    <w:rsid w:val="160E670A"/>
    <w:rsid w:val="165B791A"/>
    <w:rsid w:val="167436E4"/>
    <w:rsid w:val="16A15FC9"/>
    <w:rsid w:val="16A21235"/>
    <w:rsid w:val="16CD3E38"/>
    <w:rsid w:val="16F70EB5"/>
    <w:rsid w:val="17451C21"/>
    <w:rsid w:val="178277CE"/>
    <w:rsid w:val="178B7795"/>
    <w:rsid w:val="178F103E"/>
    <w:rsid w:val="17A4103D"/>
    <w:rsid w:val="17A675DA"/>
    <w:rsid w:val="17AC698D"/>
    <w:rsid w:val="17BD5C5B"/>
    <w:rsid w:val="17CF3BE0"/>
    <w:rsid w:val="17DD121D"/>
    <w:rsid w:val="17DF0A39"/>
    <w:rsid w:val="17E3743F"/>
    <w:rsid w:val="17E838C7"/>
    <w:rsid w:val="17F14B63"/>
    <w:rsid w:val="180D6418"/>
    <w:rsid w:val="181A13D3"/>
    <w:rsid w:val="18561C0B"/>
    <w:rsid w:val="186651BC"/>
    <w:rsid w:val="18700F1F"/>
    <w:rsid w:val="18870B44"/>
    <w:rsid w:val="188C1E56"/>
    <w:rsid w:val="18910E95"/>
    <w:rsid w:val="18985C20"/>
    <w:rsid w:val="189C7F66"/>
    <w:rsid w:val="189E50B1"/>
    <w:rsid w:val="189F74A7"/>
    <w:rsid w:val="18AE1A47"/>
    <w:rsid w:val="18F3507E"/>
    <w:rsid w:val="190855FC"/>
    <w:rsid w:val="190B0C48"/>
    <w:rsid w:val="190F0738"/>
    <w:rsid w:val="19202945"/>
    <w:rsid w:val="193463F1"/>
    <w:rsid w:val="19921BF7"/>
    <w:rsid w:val="19955E1D"/>
    <w:rsid w:val="19A215AC"/>
    <w:rsid w:val="19C57049"/>
    <w:rsid w:val="19DE010A"/>
    <w:rsid w:val="19F17E3E"/>
    <w:rsid w:val="1A077661"/>
    <w:rsid w:val="1A084305"/>
    <w:rsid w:val="1A4E5290"/>
    <w:rsid w:val="1A501008"/>
    <w:rsid w:val="1A564A00"/>
    <w:rsid w:val="1A7721B8"/>
    <w:rsid w:val="1A8D5817"/>
    <w:rsid w:val="1A9A14C6"/>
    <w:rsid w:val="1ACA4852"/>
    <w:rsid w:val="1AD54056"/>
    <w:rsid w:val="1AE17EB2"/>
    <w:rsid w:val="1AE216BB"/>
    <w:rsid w:val="1B003AD9"/>
    <w:rsid w:val="1B03607B"/>
    <w:rsid w:val="1B0D0CA7"/>
    <w:rsid w:val="1B171B26"/>
    <w:rsid w:val="1B6A170F"/>
    <w:rsid w:val="1B707610"/>
    <w:rsid w:val="1B7802A0"/>
    <w:rsid w:val="1B7D3A58"/>
    <w:rsid w:val="1B883624"/>
    <w:rsid w:val="1B8D003A"/>
    <w:rsid w:val="1B8D3B96"/>
    <w:rsid w:val="1B943177"/>
    <w:rsid w:val="1BA67AEA"/>
    <w:rsid w:val="1BE063BC"/>
    <w:rsid w:val="1BE95EF7"/>
    <w:rsid w:val="1C0C5403"/>
    <w:rsid w:val="1C1337C8"/>
    <w:rsid w:val="1C177456"/>
    <w:rsid w:val="1C29338A"/>
    <w:rsid w:val="1C3B5CE8"/>
    <w:rsid w:val="1C3E1334"/>
    <w:rsid w:val="1C7F2596"/>
    <w:rsid w:val="1C877801"/>
    <w:rsid w:val="1C922BFC"/>
    <w:rsid w:val="1C977580"/>
    <w:rsid w:val="1CA635E8"/>
    <w:rsid w:val="1CA92C52"/>
    <w:rsid w:val="1CBD1B3B"/>
    <w:rsid w:val="1CC7757C"/>
    <w:rsid w:val="1CDA6BEA"/>
    <w:rsid w:val="1CF6363D"/>
    <w:rsid w:val="1CF739BD"/>
    <w:rsid w:val="1D0F70BC"/>
    <w:rsid w:val="1D1502E7"/>
    <w:rsid w:val="1D175E0D"/>
    <w:rsid w:val="1D29063C"/>
    <w:rsid w:val="1D4D7AD6"/>
    <w:rsid w:val="1D7B52A1"/>
    <w:rsid w:val="1DB66665"/>
    <w:rsid w:val="1DCA2399"/>
    <w:rsid w:val="1DE24781"/>
    <w:rsid w:val="1E2307E2"/>
    <w:rsid w:val="1E2F7187"/>
    <w:rsid w:val="1E3C1B5F"/>
    <w:rsid w:val="1E430E84"/>
    <w:rsid w:val="1E917E41"/>
    <w:rsid w:val="1E967206"/>
    <w:rsid w:val="1EA72C55"/>
    <w:rsid w:val="1EB3600A"/>
    <w:rsid w:val="1ED018A5"/>
    <w:rsid w:val="1F0B3750"/>
    <w:rsid w:val="1F1D7A73"/>
    <w:rsid w:val="1F246BFA"/>
    <w:rsid w:val="1F272114"/>
    <w:rsid w:val="1F6F2E35"/>
    <w:rsid w:val="1FA45952"/>
    <w:rsid w:val="1FA94D17"/>
    <w:rsid w:val="1FAB6CE1"/>
    <w:rsid w:val="1FBE6A14"/>
    <w:rsid w:val="1FC97167"/>
    <w:rsid w:val="1FDA32FC"/>
    <w:rsid w:val="1FE406D4"/>
    <w:rsid w:val="20106830"/>
    <w:rsid w:val="20176DD0"/>
    <w:rsid w:val="203647FC"/>
    <w:rsid w:val="20541126"/>
    <w:rsid w:val="20B900D4"/>
    <w:rsid w:val="20CD585E"/>
    <w:rsid w:val="20D504B9"/>
    <w:rsid w:val="20D506EC"/>
    <w:rsid w:val="20D50D33"/>
    <w:rsid w:val="20FF72E4"/>
    <w:rsid w:val="21130BB1"/>
    <w:rsid w:val="212A38C1"/>
    <w:rsid w:val="215118D3"/>
    <w:rsid w:val="21517C48"/>
    <w:rsid w:val="21675789"/>
    <w:rsid w:val="216C3187"/>
    <w:rsid w:val="21703D3E"/>
    <w:rsid w:val="21714182"/>
    <w:rsid w:val="217523C7"/>
    <w:rsid w:val="21864312"/>
    <w:rsid w:val="219D67DA"/>
    <w:rsid w:val="21A5207B"/>
    <w:rsid w:val="21A56FE5"/>
    <w:rsid w:val="21A646EE"/>
    <w:rsid w:val="21B77BBF"/>
    <w:rsid w:val="21D20555"/>
    <w:rsid w:val="21E23697"/>
    <w:rsid w:val="21F4496F"/>
    <w:rsid w:val="21F52495"/>
    <w:rsid w:val="21F5560A"/>
    <w:rsid w:val="21F55953"/>
    <w:rsid w:val="220A23E4"/>
    <w:rsid w:val="220F795F"/>
    <w:rsid w:val="22271340"/>
    <w:rsid w:val="226C3577"/>
    <w:rsid w:val="228100AB"/>
    <w:rsid w:val="228B63A0"/>
    <w:rsid w:val="229D5007"/>
    <w:rsid w:val="22AF406E"/>
    <w:rsid w:val="22B1460E"/>
    <w:rsid w:val="22BD6787"/>
    <w:rsid w:val="22C71D29"/>
    <w:rsid w:val="22DA1DE3"/>
    <w:rsid w:val="22E744D4"/>
    <w:rsid w:val="22F32101"/>
    <w:rsid w:val="22FB5BE1"/>
    <w:rsid w:val="231601ED"/>
    <w:rsid w:val="23204D36"/>
    <w:rsid w:val="232148AD"/>
    <w:rsid w:val="23272F9C"/>
    <w:rsid w:val="2359594A"/>
    <w:rsid w:val="235A6A54"/>
    <w:rsid w:val="235C6C70"/>
    <w:rsid w:val="235E2CB7"/>
    <w:rsid w:val="236E0751"/>
    <w:rsid w:val="239006C7"/>
    <w:rsid w:val="239C281D"/>
    <w:rsid w:val="23AA2793"/>
    <w:rsid w:val="23CE021E"/>
    <w:rsid w:val="23DD0420"/>
    <w:rsid w:val="241E3F25"/>
    <w:rsid w:val="243458B8"/>
    <w:rsid w:val="245F009A"/>
    <w:rsid w:val="24661428"/>
    <w:rsid w:val="246B0D79"/>
    <w:rsid w:val="24760BE2"/>
    <w:rsid w:val="24A11C94"/>
    <w:rsid w:val="24A24B56"/>
    <w:rsid w:val="24AD52A9"/>
    <w:rsid w:val="24ED62A3"/>
    <w:rsid w:val="24F745B0"/>
    <w:rsid w:val="251335DA"/>
    <w:rsid w:val="251D0E3D"/>
    <w:rsid w:val="25380EEC"/>
    <w:rsid w:val="25442624"/>
    <w:rsid w:val="25464C7C"/>
    <w:rsid w:val="255243EF"/>
    <w:rsid w:val="257450D0"/>
    <w:rsid w:val="257A33DD"/>
    <w:rsid w:val="25971883"/>
    <w:rsid w:val="259B62E2"/>
    <w:rsid w:val="25A912C3"/>
    <w:rsid w:val="25AE5C8C"/>
    <w:rsid w:val="25D0124F"/>
    <w:rsid w:val="25E96E54"/>
    <w:rsid w:val="25FA62CC"/>
    <w:rsid w:val="26091912"/>
    <w:rsid w:val="2624159B"/>
    <w:rsid w:val="262D0031"/>
    <w:rsid w:val="26395481"/>
    <w:rsid w:val="265448F0"/>
    <w:rsid w:val="266A51AE"/>
    <w:rsid w:val="26AF70B6"/>
    <w:rsid w:val="26BC535F"/>
    <w:rsid w:val="26D712AB"/>
    <w:rsid w:val="26F40F6D"/>
    <w:rsid w:val="270E5857"/>
    <w:rsid w:val="27147861"/>
    <w:rsid w:val="27285455"/>
    <w:rsid w:val="275E3AFB"/>
    <w:rsid w:val="276950D1"/>
    <w:rsid w:val="2777374E"/>
    <w:rsid w:val="27982532"/>
    <w:rsid w:val="279D50BB"/>
    <w:rsid w:val="279D7A30"/>
    <w:rsid w:val="27A40D9A"/>
    <w:rsid w:val="27A733E3"/>
    <w:rsid w:val="27B60CB4"/>
    <w:rsid w:val="27BA549D"/>
    <w:rsid w:val="27DC6419"/>
    <w:rsid w:val="27E92460"/>
    <w:rsid w:val="27E968D0"/>
    <w:rsid w:val="27F05BD9"/>
    <w:rsid w:val="281A67DA"/>
    <w:rsid w:val="2826007F"/>
    <w:rsid w:val="283E5C7F"/>
    <w:rsid w:val="28590AE2"/>
    <w:rsid w:val="285E2BCB"/>
    <w:rsid w:val="286363AA"/>
    <w:rsid w:val="287D145D"/>
    <w:rsid w:val="288A1B89"/>
    <w:rsid w:val="28A644E9"/>
    <w:rsid w:val="28C17B67"/>
    <w:rsid w:val="28D10C1C"/>
    <w:rsid w:val="28D15A45"/>
    <w:rsid w:val="2907515E"/>
    <w:rsid w:val="29080D00"/>
    <w:rsid w:val="292024ED"/>
    <w:rsid w:val="292F0982"/>
    <w:rsid w:val="29543F45"/>
    <w:rsid w:val="296E5E07"/>
    <w:rsid w:val="29716D8C"/>
    <w:rsid w:val="29865CAD"/>
    <w:rsid w:val="29A46C7B"/>
    <w:rsid w:val="29A924E3"/>
    <w:rsid w:val="29C02312"/>
    <w:rsid w:val="29E42548"/>
    <w:rsid w:val="29E74DB9"/>
    <w:rsid w:val="29F63487"/>
    <w:rsid w:val="2A0B0AA8"/>
    <w:rsid w:val="2A1D07DB"/>
    <w:rsid w:val="2A332420"/>
    <w:rsid w:val="2A6E59AA"/>
    <w:rsid w:val="2A744809"/>
    <w:rsid w:val="2A7A723E"/>
    <w:rsid w:val="2A7E3A46"/>
    <w:rsid w:val="2A816FBC"/>
    <w:rsid w:val="2A8E3487"/>
    <w:rsid w:val="2A93458B"/>
    <w:rsid w:val="2AB8195B"/>
    <w:rsid w:val="2ABE5B1A"/>
    <w:rsid w:val="2AD2207B"/>
    <w:rsid w:val="2AF3311B"/>
    <w:rsid w:val="2B162AA8"/>
    <w:rsid w:val="2B165956"/>
    <w:rsid w:val="2B1C7ABF"/>
    <w:rsid w:val="2B204DEB"/>
    <w:rsid w:val="2B2A3B5F"/>
    <w:rsid w:val="2B3E6C5B"/>
    <w:rsid w:val="2B507DFE"/>
    <w:rsid w:val="2B5C1DAF"/>
    <w:rsid w:val="2B723F53"/>
    <w:rsid w:val="2B7A2ED9"/>
    <w:rsid w:val="2B806D92"/>
    <w:rsid w:val="2BD73FD0"/>
    <w:rsid w:val="2BEE7DDB"/>
    <w:rsid w:val="2C373402"/>
    <w:rsid w:val="2C4F5173"/>
    <w:rsid w:val="2C522E51"/>
    <w:rsid w:val="2C5544DD"/>
    <w:rsid w:val="2C78289C"/>
    <w:rsid w:val="2C8B5ED0"/>
    <w:rsid w:val="2CAE2083"/>
    <w:rsid w:val="2CE048B7"/>
    <w:rsid w:val="2CE850D0"/>
    <w:rsid w:val="2CEA108C"/>
    <w:rsid w:val="2CF0667B"/>
    <w:rsid w:val="2D033C32"/>
    <w:rsid w:val="2D040E66"/>
    <w:rsid w:val="2D061BBE"/>
    <w:rsid w:val="2D391753"/>
    <w:rsid w:val="2D43004D"/>
    <w:rsid w:val="2D485B6F"/>
    <w:rsid w:val="2D4C1B03"/>
    <w:rsid w:val="2D74105A"/>
    <w:rsid w:val="2D7921CC"/>
    <w:rsid w:val="2D8C6714"/>
    <w:rsid w:val="2D9C4574"/>
    <w:rsid w:val="2DAA682A"/>
    <w:rsid w:val="2DAE7101"/>
    <w:rsid w:val="2DD702D0"/>
    <w:rsid w:val="2DE811FD"/>
    <w:rsid w:val="2DE956F3"/>
    <w:rsid w:val="2DF607F9"/>
    <w:rsid w:val="2E081587"/>
    <w:rsid w:val="2E100D83"/>
    <w:rsid w:val="2E1343CF"/>
    <w:rsid w:val="2E1C0173"/>
    <w:rsid w:val="2E252284"/>
    <w:rsid w:val="2E2E2FB7"/>
    <w:rsid w:val="2E3D1E67"/>
    <w:rsid w:val="2E416D43"/>
    <w:rsid w:val="2E426A62"/>
    <w:rsid w:val="2E4317F2"/>
    <w:rsid w:val="2E5D3029"/>
    <w:rsid w:val="2E6455AA"/>
    <w:rsid w:val="2E657123"/>
    <w:rsid w:val="2E774816"/>
    <w:rsid w:val="2ED15989"/>
    <w:rsid w:val="2EE1627B"/>
    <w:rsid w:val="2EF62DFB"/>
    <w:rsid w:val="2F032695"/>
    <w:rsid w:val="2F2901C4"/>
    <w:rsid w:val="2F394BB0"/>
    <w:rsid w:val="2F430CE4"/>
    <w:rsid w:val="2F486EA2"/>
    <w:rsid w:val="2F4C49DD"/>
    <w:rsid w:val="2F5F6F0B"/>
    <w:rsid w:val="2F616747"/>
    <w:rsid w:val="2F633134"/>
    <w:rsid w:val="2F7A1FD6"/>
    <w:rsid w:val="2F84677E"/>
    <w:rsid w:val="2FAF1ED5"/>
    <w:rsid w:val="2FCA6D0F"/>
    <w:rsid w:val="2FCC2A87"/>
    <w:rsid w:val="2FE37DD1"/>
    <w:rsid w:val="2FE853E7"/>
    <w:rsid w:val="30066DCD"/>
    <w:rsid w:val="301C6579"/>
    <w:rsid w:val="30482C55"/>
    <w:rsid w:val="30520D55"/>
    <w:rsid w:val="308220D5"/>
    <w:rsid w:val="308D13CA"/>
    <w:rsid w:val="30A8793B"/>
    <w:rsid w:val="30AD41EB"/>
    <w:rsid w:val="30C65728"/>
    <w:rsid w:val="30E91417"/>
    <w:rsid w:val="30FD480F"/>
    <w:rsid w:val="312760B3"/>
    <w:rsid w:val="312D57A8"/>
    <w:rsid w:val="314825E1"/>
    <w:rsid w:val="31494A6B"/>
    <w:rsid w:val="31606693"/>
    <w:rsid w:val="3166515D"/>
    <w:rsid w:val="31706F7B"/>
    <w:rsid w:val="319F68C3"/>
    <w:rsid w:val="31A57A34"/>
    <w:rsid w:val="31B17C97"/>
    <w:rsid w:val="31C94406"/>
    <w:rsid w:val="31CF685F"/>
    <w:rsid w:val="31EB07E1"/>
    <w:rsid w:val="321B1AA4"/>
    <w:rsid w:val="323B3EF4"/>
    <w:rsid w:val="32515793"/>
    <w:rsid w:val="325A6A70"/>
    <w:rsid w:val="32B51CB0"/>
    <w:rsid w:val="32B77C1B"/>
    <w:rsid w:val="32D3237F"/>
    <w:rsid w:val="32E20907"/>
    <w:rsid w:val="32E77BD8"/>
    <w:rsid w:val="32F95860"/>
    <w:rsid w:val="330B24DF"/>
    <w:rsid w:val="33292380"/>
    <w:rsid w:val="33301B34"/>
    <w:rsid w:val="33337A76"/>
    <w:rsid w:val="334508C7"/>
    <w:rsid w:val="336A5368"/>
    <w:rsid w:val="338A5521"/>
    <w:rsid w:val="339D48BD"/>
    <w:rsid w:val="33AE3B69"/>
    <w:rsid w:val="33BE302F"/>
    <w:rsid w:val="33D72119"/>
    <w:rsid w:val="33F7142C"/>
    <w:rsid w:val="34036C94"/>
    <w:rsid w:val="3424001A"/>
    <w:rsid w:val="344440F0"/>
    <w:rsid w:val="345C4EFC"/>
    <w:rsid w:val="345E7305"/>
    <w:rsid w:val="34802092"/>
    <w:rsid w:val="34D36666"/>
    <w:rsid w:val="34D92D2E"/>
    <w:rsid w:val="352B4FC9"/>
    <w:rsid w:val="356B2D42"/>
    <w:rsid w:val="356E2833"/>
    <w:rsid w:val="356E692B"/>
    <w:rsid w:val="35775243"/>
    <w:rsid w:val="35AA111A"/>
    <w:rsid w:val="35AB313F"/>
    <w:rsid w:val="35B51E9E"/>
    <w:rsid w:val="35BF0E7A"/>
    <w:rsid w:val="35F71083"/>
    <w:rsid w:val="35F920FC"/>
    <w:rsid w:val="36145333"/>
    <w:rsid w:val="3633401E"/>
    <w:rsid w:val="363A04F6"/>
    <w:rsid w:val="365A41C4"/>
    <w:rsid w:val="3664433E"/>
    <w:rsid w:val="366E7058"/>
    <w:rsid w:val="36DC2791"/>
    <w:rsid w:val="370E09E1"/>
    <w:rsid w:val="37135440"/>
    <w:rsid w:val="372E5DD5"/>
    <w:rsid w:val="37557E0A"/>
    <w:rsid w:val="375F0685"/>
    <w:rsid w:val="37635EED"/>
    <w:rsid w:val="379A16BD"/>
    <w:rsid w:val="379D2F5B"/>
    <w:rsid w:val="37A7315E"/>
    <w:rsid w:val="37AC4521"/>
    <w:rsid w:val="37B25C6C"/>
    <w:rsid w:val="37CA3EDB"/>
    <w:rsid w:val="37D179A4"/>
    <w:rsid w:val="37D97173"/>
    <w:rsid w:val="37DB38A1"/>
    <w:rsid w:val="37DF3574"/>
    <w:rsid w:val="37ED7A3F"/>
    <w:rsid w:val="37EF01AA"/>
    <w:rsid w:val="37F66014"/>
    <w:rsid w:val="380B6117"/>
    <w:rsid w:val="380F1889"/>
    <w:rsid w:val="38196A86"/>
    <w:rsid w:val="38207DBA"/>
    <w:rsid w:val="38284C8A"/>
    <w:rsid w:val="38333699"/>
    <w:rsid w:val="385E093C"/>
    <w:rsid w:val="38672A1B"/>
    <w:rsid w:val="386F2999"/>
    <w:rsid w:val="38A075FB"/>
    <w:rsid w:val="38B642D4"/>
    <w:rsid w:val="38C84008"/>
    <w:rsid w:val="38C93115"/>
    <w:rsid w:val="39162FC5"/>
    <w:rsid w:val="39317DFF"/>
    <w:rsid w:val="395E6FAD"/>
    <w:rsid w:val="396A1CB4"/>
    <w:rsid w:val="39755F3E"/>
    <w:rsid w:val="398E3DBC"/>
    <w:rsid w:val="399A1E48"/>
    <w:rsid w:val="39A36BA3"/>
    <w:rsid w:val="39AC56D7"/>
    <w:rsid w:val="39AD25AF"/>
    <w:rsid w:val="39B34CB8"/>
    <w:rsid w:val="39BC591B"/>
    <w:rsid w:val="39BF0F73"/>
    <w:rsid w:val="39D94B63"/>
    <w:rsid w:val="39E71596"/>
    <w:rsid w:val="39EB4452"/>
    <w:rsid w:val="3A015A23"/>
    <w:rsid w:val="3A064841"/>
    <w:rsid w:val="3A3776FD"/>
    <w:rsid w:val="3A7D77A0"/>
    <w:rsid w:val="3A8A3C6B"/>
    <w:rsid w:val="3A976388"/>
    <w:rsid w:val="3A9C1584"/>
    <w:rsid w:val="3AA56DA9"/>
    <w:rsid w:val="3AC2445A"/>
    <w:rsid w:val="3ACC5836"/>
    <w:rsid w:val="3AD62A0C"/>
    <w:rsid w:val="3AD9074E"/>
    <w:rsid w:val="3AE55345"/>
    <w:rsid w:val="3AE72E6B"/>
    <w:rsid w:val="3AE94535"/>
    <w:rsid w:val="3B117EE8"/>
    <w:rsid w:val="3B2956F9"/>
    <w:rsid w:val="3B3C3FBF"/>
    <w:rsid w:val="3B564CAE"/>
    <w:rsid w:val="3B822B94"/>
    <w:rsid w:val="3B82342F"/>
    <w:rsid w:val="3B9603ED"/>
    <w:rsid w:val="3B96663F"/>
    <w:rsid w:val="3BB00349"/>
    <w:rsid w:val="3BD7787E"/>
    <w:rsid w:val="3BDB4052"/>
    <w:rsid w:val="3BF958F4"/>
    <w:rsid w:val="3C0F33B3"/>
    <w:rsid w:val="3C213FC6"/>
    <w:rsid w:val="3C2D2B00"/>
    <w:rsid w:val="3C397CC0"/>
    <w:rsid w:val="3C574020"/>
    <w:rsid w:val="3C5C5193"/>
    <w:rsid w:val="3C6F75EF"/>
    <w:rsid w:val="3C832A57"/>
    <w:rsid w:val="3C8C6F6D"/>
    <w:rsid w:val="3CA40261"/>
    <w:rsid w:val="3CB2467A"/>
    <w:rsid w:val="3CB84120"/>
    <w:rsid w:val="3CEA487B"/>
    <w:rsid w:val="3D165D92"/>
    <w:rsid w:val="3D274BBB"/>
    <w:rsid w:val="3D3B124C"/>
    <w:rsid w:val="3D447411"/>
    <w:rsid w:val="3D712B8E"/>
    <w:rsid w:val="3D9029CC"/>
    <w:rsid w:val="3D9D434C"/>
    <w:rsid w:val="3DAB2FAC"/>
    <w:rsid w:val="3DC72A27"/>
    <w:rsid w:val="3DD671C7"/>
    <w:rsid w:val="3DEC564C"/>
    <w:rsid w:val="3DF62463"/>
    <w:rsid w:val="3E045AE2"/>
    <w:rsid w:val="3E127653"/>
    <w:rsid w:val="3E1369AE"/>
    <w:rsid w:val="3E1705A8"/>
    <w:rsid w:val="3E344619"/>
    <w:rsid w:val="3E4E4846"/>
    <w:rsid w:val="3E556DD3"/>
    <w:rsid w:val="3E6C1C4F"/>
    <w:rsid w:val="3E704F26"/>
    <w:rsid w:val="3E781BD9"/>
    <w:rsid w:val="3E7D09E7"/>
    <w:rsid w:val="3E7D1431"/>
    <w:rsid w:val="3E921340"/>
    <w:rsid w:val="3EBB1512"/>
    <w:rsid w:val="3EC6578A"/>
    <w:rsid w:val="3ECF4342"/>
    <w:rsid w:val="3EE002FD"/>
    <w:rsid w:val="3EE6343A"/>
    <w:rsid w:val="3EEB0A50"/>
    <w:rsid w:val="3EFD58E4"/>
    <w:rsid w:val="3F40020A"/>
    <w:rsid w:val="3F536D21"/>
    <w:rsid w:val="3F8F2799"/>
    <w:rsid w:val="3F9D7F9C"/>
    <w:rsid w:val="3FC217B1"/>
    <w:rsid w:val="3FCE7DED"/>
    <w:rsid w:val="40271F5C"/>
    <w:rsid w:val="403312B0"/>
    <w:rsid w:val="40664832"/>
    <w:rsid w:val="407056B1"/>
    <w:rsid w:val="40DE086C"/>
    <w:rsid w:val="41006A35"/>
    <w:rsid w:val="410E6949"/>
    <w:rsid w:val="4124436F"/>
    <w:rsid w:val="4129442B"/>
    <w:rsid w:val="413816A2"/>
    <w:rsid w:val="41431B14"/>
    <w:rsid w:val="414738FB"/>
    <w:rsid w:val="41635215"/>
    <w:rsid w:val="41662DE7"/>
    <w:rsid w:val="417411D1"/>
    <w:rsid w:val="417F63F2"/>
    <w:rsid w:val="41931657"/>
    <w:rsid w:val="41B17D2F"/>
    <w:rsid w:val="41B20F4B"/>
    <w:rsid w:val="41BF7449"/>
    <w:rsid w:val="41DB2FFE"/>
    <w:rsid w:val="41DD6D76"/>
    <w:rsid w:val="41DE52BB"/>
    <w:rsid w:val="41F45941"/>
    <w:rsid w:val="41FB36A0"/>
    <w:rsid w:val="42312C1E"/>
    <w:rsid w:val="42380450"/>
    <w:rsid w:val="423821FE"/>
    <w:rsid w:val="42435509"/>
    <w:rsid w:val="4269060A"/>
    <w:rsid w:val="42AC34C9"/>
    <w:rsid w:val="43101CEF"/>
    <w:rsid w:val="43114946"/>
    <w:rsid w:val="432509D4"/>
    <w:rsid w:val="432636BD"/>
    <w:rsid w:val="43364990"/>
    <w:rsid w:val="433724B6"/>
    <w:rsid w:val="43430E5B"/>
    <w:rsid w:val="43574906"/>
    <w:rsid w:val="43893FEF"/>
    <w:rsid w:val="438D1BEA"/>
    <w:rsid w:val="439E7EFB"/>
    <w:rsid w:val="43C6583D"/>
    <w:rsid w:val="43E52DF0"/>
    <w:rsid w:val="43E95AE5"/>
    <w:rsid w:val="43FE34E9"/>
    <w:rsid w:val="440C3942"/>
    <w:rsid w:val="440F1761"/>
    <w:rsid w:val="44216CF4"/>
    <w:rsid w:val="444D3D5C"/>
    <w:rsid w:val="44900B18"/>
    <w:rsid w:val="44A377A9"/>
    <w:rsid w:val="44A64A07"/>
    <w:rsid w:val="44B74CDE"/>
    <w:rsid w:val="44BA256F"/>
    <w:rsid w:val="44C22253"/>
    <w:rsid w:val="44DC50C3"/>
    <w:rsid w:val="44EF4A48"/>
    <w:rsid w:val="451F54B1"/>
    <w:rsid w:val="45205E79"/>
    <w:rsid w:val="45442347"/>
    <w:rsid w:val="454A61A6"/>
    <w:rsid w:val="457C5F26"/>
    <w:rsid w:val="45820C4B"/>
    <w:rsid w:val="459933EC"/>
    <w:rsid w:val="45AC0F39"/>
    <w:rsid w:val="45C81AEB"/>
    <w:rsid w:val="45D65A20"/>
    <w:rsid w:val="45E745BD"/>
    <w:rsid w:val="45ED3180"/>
    <w:rsid w:val="45F51A53"/>
    <w:rsid w:val="460423BC"/>
    <w:rsid w:val="4659191C"/>
    <w:rsid w:val="46845629"/>
    <w:rsid w:val="46C21D12"/>
    <w:rsid w:val="46C73B51"/>
    <w:rsid w:val="46E322BB"/>
    <w:rsid w:val="47255961"/>
    <w:rsid w:val="472B5388"/>
    <w:rsid w:val="472D2ECD"/>
    <w:rsid w:val="474951D9"/>
    <w:rsid w:val="474C34F7"/>
    <w:rsid w:val="47543636"/>
    <w:rsid w:val="475545DC"/>
    <w:rsid w:val="477737C9"/>
    <w:rsid w:val="478D6B48"/>
    <w:rsid w:val="479E48B1"/>
    <w:rsid w:val="47AC72B3"/>
    <w:rsid w:val="47BE28F6"/>
    <w:rsid w:val="47C00B3A"/>
    <w:rsid w:val="481E1E96"/>
    <w:rsid w:val="48292FF2"/>
    <w:rsid w:val="48425B85"/>
    <w:rsid w:val="48455675"/>
    <w:rsid w:val="4847487F"/>
    <w:rsid w:val="485A0F31"/>
    <w:rsid w:val="487B4BF3"/>
    <w:rsid w:val="48883025"/>
    <w:rsid w:val="48FE3445"/>
    <w:rsid w:val="49025314"/>
    <w:rsid w:val="490B5F77"/>
    <w:rsid w:val="490F7593"/>
    <w:rsid w:val="4910286C"/>
    <w:rsid w:val="49346777"/>
    <w:rsid w:val="494C2961"/>
    <w:rsid w:val="49773515"/>
    <w:rsid w:val="4981448B"/>
    <w:rsid w:val="49891591"/>
    <w:rsid w:val="498E4CFA"/>
    <w:rsid w:val="498F5A5D"/>
    <w:rsid w:val="49A455B6"/>
    <w:rsid w:val="49B20AE8"/>
    <w:rsid w:val="49E669E4"/>
    <w:rsid w:val="49FB376E"/>
    <w:rsid w:val="49FF132D"/>
    <w:rsid w:val="4A325B4E"/>
    <w:rsid w:val="4A3813CD"/>
    <w:rsid w:val="4A3D5C7F"/>
    <w:rsid w:val="4A722025"/>
    <w:rsid w:val="4A9401EE"/>
    <w:rsid w:val="4AA777F9"/>
    <w:rsid w:val="4AB34B18"/>
    <w:rsid w:val="4B08619A"/>
    <w:rsid w:val="4B1E03CD"/>
    <w:rsid w:val="4B2F428C"/>
    <w:rsid w:val="4B313C8F"/>
    <w:rsid w:val="4B3A7B4E"/>
    <w:rsid w:val="4B3C4946"/>
    <w:rsid w:val="4B524331"/>
    <w:rsid w:val="4B552AA6"/>
    <w:rsid w:val="4B757146"/>
    <w:rsid w:val="4B7E4E3D"/>
    <w:rsid w:val="4B836C47"/>
    <w:rsid w:val="4BB853C6"/>
    <w:rsid w:val="4BBE6C52"/>
    <w:rsid w:val="4BCA0C46"/>
    <w:rsid w:val="4BD44785"/>
    <w:rsid w:val="4BE40D01"/>
    <w:rsid w:val="4BED22AB"/>
    <w:rsid w:val="4C054E48"/>
    <w:rsid w:val="4C1166DC"/>
    <w:rsid w:val="4C2F6420"/>
    <w:rsid w:val="4C3C2564"/>
    <w:rsid w:val="4C3D6D8F"/>
    <w:rsid w:val="4C4874E2"/>
    <w:rsid w:val="4C4C080F"/>
    <w:rsid w:val="4C5948D2"/>
    <w:rsid w:val="4C83051A"/>
    <w:rsid w:val="4C844926"/>
    <w:rsid w:val="4CBF67BB"/>
    <w:rsid w:val="4CE006EA"/>
    <w:rsid w:val="4CEC60BF"/>
    <w:rsid w:val="4D003F07"/>
    <w:rsid w:val="4D183358"/>
    <w:rsid w:val="4D2951F8"/>
    <w:rsid w:val="4D49059F"/>
    <w:rsid w:val="4D6E195B"/>
    <w:rsid w:val="4D7D31BB"/>
    <w:rsid w:val="4D8C1650"/>
    <w:rsid w:val="4DA644C0"/>
    <w:rsid w:val="4DC4703C"/>
    <w:rsid w:val="4DD74FC1"/>
    <w:rsid w:val="4DE730E2"/>
    <w:rsid w:val="4E3F7A75"/>
    <w:rsid w:val="4E5A52AA"/>
    <w:rsid w:val="4E5C1022"/>
    <w:rsid w:val="4E8923E9"/>
    <w:rsid w:val="4E8C2785"/>
    <w:rsid w:val="4EB004CB"/>
    <w:rsid w:val="4EB8094F"/>
    <w:rsid w:val="4EC866B8"/>
    <w:rsid w:val="4EC86752"/>
    <w:rsid w:val="4EEA1AD9"/>
    <w:rsid w:val="4EEA7313"/>
    <w:rsid w:val="4EF9289C"/>
    <w:rsid w:val="4F005F69"/>
    <w:rsid w:val="4F1D4C56"/>
    <w:rsid w:val="4F3044CD"/>
    <w:rsid w:val="4F555807"/>
    <w:rsid w:val="4F722CCD"/>
    <w:rsid w:val="4F7A3E56"/>
    <w:rsid w:val="4FA2515B"/>
    <w:rsid w:val="4FCF69C4"/>
    <w:rsid w:val="4FD52511"/>
    <w:rsid w:val="4FDF015D"/>
    <w:rsid w:val="50184E3E"/>
    <w:rsid w:val="50240BBA"/>
    <w:rsid w:val="503C735D"/>
    <w:rsid w:val="5047736B"/>
    <w:rsid w:val="504C112D"/>
    <w:rsid w:val="50597F0F"/>
    <w:rsid w:val="50616E69"/>
    <w:rsid w:val="50D71E2D"/>
    <w:rsid w:val="50EF43D0"/>
    <w:rsid w:val="510F05CE"/>
    <w:rsid w:val="51254295"/>
    <w:rsid w:val="51524316"/>
    <w:rsid w:val="51713037"/>
    <w:rsid w:val="51736DAF"/>
    <w:rsid w:val="51892863"/>
    <w:rsid w:val="51A36729"/>
    <w:rsid w:val="51BA678C"/>
    <w:rsid w:val="51C27D36"/>
    <w:rsid w:val="51CC64BF"/>
    <w:rsid w:val="51E77CEC"/>
    <w:rsid w:val="52022070"/>
    <w:rsid w:val="520D05A6"/>
    <w:rsid w:val="5215352B"/>
    <w:rsid w:val="523C3645"/>
    <w:rsid w:val="525A7F6F"/>
    <w:rsid w:val="52727066"/>
    <w:rsid w:val="528A121C"/>
    <w:rsid w:val="52BF7DD2"/>
    <w:rsid w:val="52C553E8"/>
    <w:rsid w:val="52D23FA9"/>
    <w:rsid w:val="530C7497"/>
    <w:rsid w:val="53185E60"/>
    <w:rsid w:val="5320110D"/>
    <w:rsid w:val="53230361"/>
    <w:rsid w:val="53784B50"/>
    <w:rsid w:val="537C4DF6"/>
    <w:rsid w:val="53852DC9"/>
    <w:rsid w:val="539A75BB"/>
    <w:rsid w:val="53AC65A8"/>
    <w:rsid w:val="53B45A28"/>
    <w:rsid w:val="53BA7CA0"/>
    <w:rsid w:val="53C11BA9"/>
    <w:rsid w:val="53C46D73"/>
    <w:rsid w:val="53D03CB0"/>
    <w:rsid w:val="53D749EF"/>
    <w:rsid w:val="53E75695"/>
    <w:rsid w:val="5414351A"/>
    <w:rsid w:val="54396AC4"/>
    <w:rsid w:val="544662D1"/>
    <w:rsid w:val="545C1D7C"/>
    <w:rsid w:val="549044EC"/>
    <w:rsid w:val="549C486F"/>
    <w:rsid w:val="549E3A83"/>
    <w:rsid w:val="54B90F7D"/>
    <w:rsid w:val="54C64055"/>
    <w:rsid w:val="54E56216"/>
    <w:rsid w:val="54E83610"/>
    <w:rsid w:val="54EB3100"/>
    <w:rsid w:val="55014B1F"/>
    <w:rsid w:val="5524585A"/>
    <w:rsid w:val="55390A94"/>
    <w:rsid w:val="553E1482"/>
    <w:rsid w:val="55684751"/>
    <w:rsid w:val="5568768A"/>
    <w:rsid w:val="556F3D31"/>
    <w:rsid w:val="55AD6B1D"/>
    <w:rsid w:val="55CC6148"/>
    <w:rsid w:val="55DC17CE"/>
    <w:rsid w:val="56015316"/>
    <w:rsid w:val="560403F4"/>
    <w:rsid w:val="5635357E"/>
    <w:rsid w:val="564145DE"/>
    <w:rsid w:val="565F3782"/>
    <w:rsid w:val="56930897"/>
    <w:rsid w:val="56984029"/>
    <w:rsid w:val="56BA15D9"/>
    <w:rsid w:val="56C22635"/>
    <w:rsid w:val="56CC3CB4"/>
    <w:rsid w:val="56D17444"/>
    <w:rsid w:val="56DB045D"/>
    <w:rsid w:val="570C79C8"/>
    <w:rsid w:val="571B0025"/>
    <w:rsid w:val="572B2213"/>
    <w:rsid w:val="57647DA8"/>
    <w:rsid w:val="576D42A0"/>
    <w:rsid w:val="577B69BD"/>
    <w:rsid w:val="57885129"/>
    <w:rsid w:val="579161E1"/>
    <w:rsid w:val="57956E9B"/>
    <w:rsid w:val="579F3B1B"/>
    <w:rsid w:val="57AA2DFF"/>
    <w:rsid w:val="57DA7555"/>
    <w:rsid w:val="57DA7B88"/>
    <w:rsid w:val="58006865"/>
    <w:rsid w:val="5801083F"/>
    <w:rsid w:val="580F5357"/>
    <w:rsid w:val="581D1875"/>
    <w:rsid w:val="582C7CB7"/>
    <w:rsid w:val="584A6390"/>
    <w:rsid w:val="58550FBC"/>
    <w:rsid w:val="587358E6"/>
    <w:rsid w:val="588A581C"/>
    <w:rsid w:val="588D2523"/>
    <w:rsid w:val="58905031"/>
    <w:rsid w:val="58A61818"/>
    <w:rsid w:val="58BD4DB3"/>
    <w:rsid w:val="58C24B9F"/>
    <w:rsid w:val="58C80B81"/>
    <w:rsid w:val="58C952DE"/>
    <w:rsid w:val="58E42460"/>
    <w:rsid w:val="58EA742A"/>
    <w:rsid w:val="58FE0CA7"/>
    <w:rsid w:val="592A2449"/>
    <w:rsid w:val="5939464F"/>
    <w:rsid w:val="59413C36"/>
    <w:rsid w:val="59482584"/>
    <w:rsid w:val="595A2602"/>
    <w:rsid w:val="597D337C"/>
    <w:rsid w:val="598036BE"/>
    <w:rsid w:val="598406F9"/>
    <w:rsid w:val="599B6EA3"/>
    <w:rsid w:val="599C2C1B"/>
    <w:rsid w:val="599F143C"/>
    <w:rsid w:val="599F1F40"/>
    <w:rsid w:val="59B23E12"/>
    <w:rsid w:val="59B30690"/>
    <w:rsid w:val="59B77A8B"/>
    <w:rsid w:val="59FA5EE7"/>
    <w:rsid w:val="5A07278A"/>
    <w:rsid w:val="5A1D5B0A"/>
    <w:rsid w:val="5A3317D1"/>
    <w:rsid w:val="5A386DE8"/>
    <w:rsid w:val="5A3A3F5E"/>
    <w:rsid w:val="5A407A4A"/>
    <w:rsid w:val="5A6809CC"/>
    <w:rsid w:val="5A7871E4"/>
    <w:rsid w:val="5A850AB0"/>
    <w:rsid w:val="5AAF5488"/>
    <w:rsid w:val="5AB24529"/>
    <w:rsid w:val="5AB32912"/>
    <w:rsid w:val="5AB639E3"/>
    <w:rsid w:val="5ACD0FBF"/>
    <w:rsid w:val="5AD91FB1"/>
    <w:rsid w:val="5ADF1011"/>
    <w:rsid w:val="5AF85079"/>
    <w:rsid w:val="5B154FF4"/>
    <w:rsid w:val="5B2555BE"/>
    <w:rsid w:val="5B3C1155"/>
    <w:rsid w:val="5B4005FB"/>
    <w:rsid w:val="5B4F263B"/>
    <w:rsid w:val="5B615779"/>
    <w:rsid w:val="5B6A1223"/>
    <w:rsid w:val="5B6D73FC"/>
    <w:rsid w:val="5B7C244F"/>
    <w:rsid w:val="5B8B2659"/>
    <w:rsid w:val="5B8F1E35"/>
    <w:rsid w:val="5BCA1CC1"/>
    <w:rsid w:val="5C003935"/>
    <w:rsid w:val="5C007491"/>
    <w:rsid w:val="5C2313A4"/>
    <w:rsid w:val="5C363361"/>
    <w:rsid w:val="5C4900A4"/>
    <w:rsid w:val="5C82259C"/>
    <w:rsid w:val="5C976FAB"/>
    <w:rsid w:val="5C9B567B"/>
    <w:rsid w:val="5CCA14C8"/>
    <w:rsid w:val="5CCA25B1"/>
    <w:rsid w:val="5CE84AF5"/>
    <w:rsid w:val="5D395350"/>
    <w:rsid w:val="5D581023"/>
    <w:rsid w:val="5D5850AB"/>
    <w:rsid w:val="5D700646"/>
    <w:rsid w:val="5D8365CC"/>
    <w:rsid w:val="5D851BFC"/>
    <w:rsid w:val="5D870982"/>
    <w:rsid w:val="5DA84284"/>
    <w:rsid w:val="5DAD34DD"/>
    <w:rsid w:val="5DCA6E6D"/>
    <w:rsid w:val="5DEB4069"/>
    <w:rsid w:val="5DEC1E56"/>
    <w:rsid w:val="5DF179D9"/>
    <w:rsid w:val="5E033269"/>
    <w:rsid w:val="5E0C4813"/>
    <w:rsid w:val="5E3873B6"/>
    <w:rsid w:val="5E437FD7"/>
    <w:rsid w:val="5E514DB9"/>
    <w:rsid w:val="5E6D4B86"/>
    <w:rsid w:val="5E6F74A3"/>
    <w:rsid w:val="5E783C56"/>
    <w:rsid w:val="5E9904E5"/>
    <w:rsid w:val="5EEB267A"/>
    <w:rsid w:val="5EF62DCD"/>
    <w:rsid w:val="5F2361A5"/>
    <w:rsid w:val="5F2F4859"/>
    <w:rsid w:val="5F4D130E"/>
    <w:rsid w:val="5F73441E"/>
    <w:rsid w:val="5F990328"/>
    <w:rsid w:val="5F9F3465"/>
    <w:rsid w:val="5FA024CF"/>
    <w:rsid w:val="5FB24F46"/>
    <w:rsid w:val="5FC7497A"/>
    <w:rsid w:val="5FD431FA"/>
    <w:rsid w:val="60011A2A"/>
    <w:rsid w:val="6009095F"/>
    <w:rsid w:val="60160FC9"/>
    <w:rsid w:val="6043407E"/>
    <w:rsid w:val="60583D40"/>
    <w:rsid w:val="606C675B"/>
    <w:rsid w:val="60D333C6"/>
    <w:rsid w:val="60DC35A3"/>
    <w:rsid w:val="60F2534F"/>
    <w:rsid w:val="60F9034D"/>
    <w:rsid w:val="60FC0543"/>
    <w:rsid w:val="611759A9"/>
    <w:rsid w:val="61446072"/>
    <w:rsid w:val="614918DA"/>
    <w:rsid w:val="615171F4"/>
    <w:rsid w:val="616365BA"/>
    <w:rsid w:val="617F354E"/>
    <w:rsid w:val="61A50442"/>
    <w:rsid w:val="61DF3D69"/>
    <w:rsid w:val="61F15421"/>
    <w:rsid w:val="61FC4B9F"/>
    <w:rsid w:val="620E0D7E"/>
    <w:rsid w:val="620F48D2"/>
    <w:rsid w:val="621326B5"/>
    <w:rsid w:val="62257C51"/>
    <w:rsid w:val="62393632"/>
    <w:rsid w:val="623D6F8B"/>
    <w:rsid w:val="6249639D"/>
    <w:rsid w:val="627B7B84"/>
    <w:rsid w:val="628F43E8"/>
    <w:rsid w:val="6299063F"/>
    <w:rsid w:val="62A56FE4"/>
    <w:rsid w:val="62A778FB"/>
    <w:rsid w:val="62C25396"/>
    <w:rsid w:val="62C70D09"/>
    <w:rsid w:val="62D038FB"/>
    <w:rsid w:val="63032F4E"/>
    <w:rsid w:val="6311047C"/>
    <w:rsid w:val="631B12A8"/>
    <w:rsid w:val="631D12AC"/>
    <w:rsid w:val="633A02AD"/>
    <w:rsid w:val="63414F5F"/>
    <w:rsid w:val="635527B8"/>
    <w:rsid w:val="63627211"/>
    <w:rsid w:val="63716EC6"/>
    <w:rsid w:val="637647B1"/>
    <w:rsid w:val="63A66E9A"/>
    <w:rsid w:val="63AF484C"/>
    <w:rsid w:val="63C4349A"/>
    <w:rsid w:val="63D3192F"/>
    <w:rsid w:val="63D7141F"/>
    <w:rsid w:val="63D8564E"/>
    <w:rsid w:val="63E03147"/>
    <w:rsid w:val="63E53BC8"/>
    <w:rsid w:val="63ED0C43"/>
    <w:rsid w:val="63F7561D"/>
    <w:rsid w:val="63FA3360"/>
    <w:rsid w:val="63FB2B15"/>
    <w:rsid w:val="640B2E77"/>
    <w:rsid w:val="642264DE"/>
    <w:rsid w:val="64314722"/>
    <w:rsid w:val="64332DF3"/>
    <w:rsid w:val="645F0D81"/>
    <w:rsid w:val="64710D32"/>
    <w:rsid w:val="6474075D"/>
    <w:rsid w:val="649410BE"/>
    <w:rsid w:val="64994927"/>
    <w:rsid w:val="64A84B6A"/>
    <w:rsid w:val="64AF5EF8"/>
    <w:rsid w:val="64C80AE1"/>
    <w:rsid w:val="64DE058B"/>
    <w:rsid w:val="64F16511"/>
    <w:rsid w:val="650F6997"/>
    <w:rsid w:val="651A5A67"/>
    <w:rsid w:val="65456147"/>
    <w:rsid w:val="654A48C2"/>
    <w:rsid w:val="658C582A"/>
    <w:rsid w:val="65975DB9"/>
    <w:rsid w:val="65A01E7E"/>
    <w:rsid w:val="65A3160B"/>
    <w:rsid w:val="65A74E21"/>
    <w:rsid w:val="65A75BF4"/>
    <w:rsid w:val="65B55790"/>
    <w:rsid w:val="65C8108A"/>
    <w:rsid w:val="65DA5456"/>
    <w:rsid w:val="65E41BD1"/>
    <w:rsid w:val="65E971E8"/>
    <w:rsid w:val="66360241"/>
    <w:rsid w:val="66464C58"/>
    <w:rsid w:val="665C6DFC"/>
    <w:rsid w:val="667967BE"/>
    <w:rsid w:val="66867795"/>
    <w:rsid w:val="66A03D4A"/>
    <w:rsid w:val="66AA4BC9"/>
    <w:rsid w:val="66EA249A"/>
    <w:rsid w:val="67050051"/>
    <w:rsid w:val="671230A7"/>
    <w:rsid w:val="674A1F08"/>
    <w:rsid w:val="674E0FD2"/>
    <w:rsid w:val="675E5725"/>
    <w:rsid w:val="676927E5"/>
    <w:rsid w:val="676A58F9"/>
    <w:rsid w:val="67776250"/>
    <w:rsid w:val="678418BE"/>
    <w:rsid w:val="67847655"/>
    <w:rsid w:val="67A557D8"/>
    <w:rsid w:val="67B37AAD"/>
    <w:rsid w:val="67BC2E06"/>
    <w:rsid w:val="67CB4E45"/>
    <w:rsid w:val="67D143D7"/>
    <w:rsid w:val="67F10517"/>
    <w:rsid w:val="68032392"/>
    <w:rsid w:val="684B5F38"/>
    <w:rsid w:val="684E0AEA"/>
    <w:rsid w:val="68663B55"/>
    <w:rsid w:val="686C45DD"/>
    <w:rsid w:val="687631E5"/>
    <w:rsid w:val="68A12CD4"/>
    <w:rsid w:val="68DC1286"/>
    <w:rsid w:val="68ED2114"/>
    <w:rsid w:val="68FA5352"/>
    <w:rsid w:val="690305C1"/>
    <w:rsid w:val="690A583D"/>
    <w:rsid w:val="690D143F"/>
    <w:rsid w:val="69115440"/>
    <w:rsid w:val="69125061"/>
    <w:rsid w:val="69193A0C"/>
    <w:rsid w:val="692B0715"/>
    <w:rsid w:val="692E29C9"/>
    <w:rsid w:val="695B21AB"/>
    <w:rsid w:val="696077C1"/>
    <w:rsid w:val="696638FC"/>
    <w:rsid w:val="69706493"/>
    <w:rsid w:val="699F6997"/>
    <w:rsid w:val="69A578CA"/>
    <w:rsid w:val="69AA4EE0"/>
    <w:rsid w:val="69E36C79"/>
    <w:rsid w:val="69E74EBB"/>
    <w:rsid w:val="69F31CED"/>
    <w:rsid w:val="69F57A83"/>
    <w:rsid w:val="6A002D52"/>
    <w:rsid w:val="6A161ADF"/>
    <w:rsid w:val="6A1F3D5D"/>
    <w:rsid w:val="6A2353BE"/>
    <w:rsid w:val="6A2B7DCF"/>
    <w:rsid w:val="6A310287"/>
    <w:rsid w:val="6A3616FB"/>
    <w:rsid w:val="6A4B0471"/>
    <w:rsid w:val="6A7A213F"/>
    <w:rsid w:val="6A7C658A"/>
    <w:rsid w:val="6A7F636D"/>
    <w:rsid w:val="6A8B5DB2"/>
    <w:rsid w:val="6A8B6AC0"/>
    <w:rsid w:val="6AD42215"/>
    <w:rsid w:val="6AE0505D"/>
    <w:rsid w:val="6B19056F"/>
    <w:rsid w:val="6B2312D3"/>
    <w:rsid w:val="6B286B57"/>
    <w:rsid w:val="6B2D401B"/>
    <w:rsid w:val="6B78411F"/>
    <w:rsid w:val="6B916358"/>
    <w:rsid w:val="6B9D2F4E"/>
    <w:rsid w:val="6BA37E39"/>
    <w:rsid w:val="6BA93B3E"/>
    <w:rsid w:val="6BAA566B"/>
    <w:rsid w:val="6BB517B9"/>
    <w:rsid w:val="6BCB6BB1"/>
    <w:rsid w:val="6BD14452"/>
    <w:rsid w:val="6BD623FB"/>
    <w:rsid w:val="6BDE53C8"/>
    <w:rsid w:val="6C1331CB"/>
    <w:rsid w:val="6C276CBC"/>
    <w:rsid w:val="6C5C6804"/>
    <w:rsid w:val="6C6407B2"/>
    <w:rsid w:val="6C642D34"/>
    <w:rsid w:val="6CB066F9"/>
    <w:rsid w:val="6CB80CCD"/>
    <w:rsid w:val="6CC14A1B"/>
    <w:rsid w:val="6CD70C89"/>
    <w:rsid w:val="6CED1CB3"/>
    <w:rsid w:val="6D341C97"/>
    <w:rsid w:val="6D6C2BD8"/>
    <w:rsid w:val="6DA51185"/>
    <w:rsid w:val="6DAA5D3D"/>
    <w:rsid w:val="6DB87289"/>
    <w:rsid w:val="6DCD62F5"/>
    <w:rsid w:val="6DD72F21"/>
    <w:rsid w:val="6DDF641F"/>
    <w:rsid w:val="6DF60AC2"/>
    <w:rsid w:val="6DFE57FA"/>
    <w:rsid w:val="6E056B89"/>
    <w:rsid w:val="6E0E1FAB"/>
    <w:rsid w:val="6E1F6131"/>
    <w:rsid w:val="6E31797E"/>
    <w:rsid w:val="6E473F99"/>
    <w:rsid w:val="6E6715F2"/>
    <w:rsid w:val="6E6B10E2"/>
    <w:rsid w:val="6EAB14DE"/>
    <w:rsid w:val="6EB5235D"/>
    <w:rsid w:val="6ED44ED9"/>
    <w:rsid w:val="6EEB192E"/>
    <w:rsid w:val="6F372347"/>
    <w:rsid w:val="6F5A4CB2"/>
    <w:rsid w:val="6F7448F8"/>
    <w:rsid w:val="6F8B295D"/>
    <w:rsid w:val="6F8E0E92"/>
    <w:rsid w:val="6FCB79B8"/>
    <w:rsid w:val="6FCE7B7A"/>
    <w:rsid w:val="6FDB2297"/>
    <w:rsid w:val="6FEF62D5"/>
    <w:rsid w:val="6FF227DD"/>
    <w:rsid w:val="6FFF24F7"/>
    <w:rsid w:val="700532A9"/>
    <w:rsid w:val="70064F54"/>
    <w:rsid w:val="70076BE8"/>
    <w:rsid w:val="70115CB9"/>
    <w:rsid w:val="70120352"/>
    <w:rsid w:val="702C5898"/>
    <w:rsid w:val="7032766D"/>
    <w:rsid w:val="70490B93"/>
    <w:rsid w:val="706C5F0F"/>
    <w:rsid w:val="7073599E"/>
    <w:rsid w:val="707D6EAA"/>
    <w:rsid w:val="70852D60"/>
    <w:rsid w:val="708E2492"/>
    <w:rsid w:val="70A02B99"/>
    <w:rsid w:val="70AA6F37"/>
    <w:rsid w:val="70D251A8"/>
    <w:rsid w:val="70EB6BD0"/>
    <w:rsid w:val="70F65495"/>
    <w:rsid w:val="71092E34"/>
    <w:rsid w:val="711E1E29"/>
    <w:rsid w:val="7137174F"/>
    <w:rsid w:val="713D663A"/>
    <w:rsid w:val="715352FB"/>
    <w:rsid w:val="71547983"/>
    <w:rsid w:val="71AA0173"/>
    <w:rsid w:val="71C64881"/>
    <w:rsid w:val="71D61B1F"/>
    <w:rsid w:val="71D62D16"/>
    <w:rsid w:val="71FD4747"/>
    <w:rsid w:val="72222ACA"/>
    <w:rsid w:val="722E4900"/>
    <w:rsid w:val="725D42D9"/>
    <w:rsid w:val="726B5186"/>
    <w:rsid w:val="726F5029"/>
    <w:rsid w:val="728F12F7"/>
    <w:rsid w:val="729C2CCE"/>
    <w:rsid w:val="729C5033"/>
    <w:rsid w:val="72BD5C84"/>
    <w:rsid w:val="72CB5DE1"/>
    <w:rsid w:val="72E27499"/>
    <w:rsid w:val="73076EFF"/>
    <w:rsid w:val="73403821"/>
    <w:rsid w:val="735540DE"/>
    <w:rsid w:val="739358D2"/>
    <w:rsid w:val="739D7782"/>
    <w:rsid w:val="739F1019"/>
    <w:rsid w:val="73A43546"/>
    <w:rsid w:val="73B13A3B"/>
    <w:rsid w:val="73DE2356"/>
    <w:rsid w:val="73E55492"/>
    <w:rsid w:val="73EB7933"/>
    <w:rsid w:val="73F676A0"/>
    <w:rsid w:val="74037C1E"/>
    <w:rsid w:val="740578E3"/>
    <w:rsid w:val="740873D3"/>
    <w:rsid w:val="742A5E10"/>
    <w:rsid w:val="74654825"/>
    <w:rsid w:val="746E5488"/>
    <w:rsid w:val="749B1D7D"/>
    <w:rsid w:val="74CC6652"/>
    <w:rsid w:val="74F040EF"/>
    <w:rsid w:val="75234393"/>
    <w:rsid w:val="755C3532"/>
    <w:rsid w:val="7577036C"/>
    <w:rsid w:val="758807CB"/>
    <w:rsid w:val="758D4034"/>
    <w:rsid w:val="759058D2"/>
    <w:rsid w:val="75A153E9"/>
    <w:rsid w:val="75B710B1"/>
    <w:rsid w:val="75DB4D9F"/>
    <w:rsid w:val="75DD2B90"/>
    <w:rsid w:val="75E342E9"/>
    <w:rsid w:val="75F40514"/>
    <w:rsid w:val="760A3A78"/>
    <w:rsid w:val="76157B85"/>
    <w:rsid w:val="764928A0"/>
    <w:rsid w:val="76612DCA"/>
    <w:rsid w:val="7668722A"/>
    <w:rsid w:val="767B74A5"/>
    <w:rsid w:val="76946EC3"/>
    <w:rsid w:val="769474D0"/>
    <w:rsid w:val="76AA2012"/>
    <w:rsid w:val="76BA50FF"/>
    <w:rsid w:val="76CC76CB"/>
    <w:rsid w:val="76E23F0B"/>
    <w:rsid w:val="76FD1290"/>
    <w:rsid w:val="773109EF"/>
    <w:rsid w:val="774626EC"/>
    <w:rsid w:val="77630468"/>
    <w:rsid w:val="77641651"/>
    <w:rsid w:val="777C610E"/>
    <w:rsid w:val="778522C8"/>
    <w:rsid w:val="77884AB3"/>
    <w:rsid w:val="77C13386"/>
    <w:rsid w:val="77C95904"/>
    <w:rsid w:val="77CB2BF1"/>
    <w:rsid w:val="77F33F5A"/>
    <w:rsid w:val="77F959B0"/>
    <w:rsid w:val="7834093C"/>
    <w:rsid w:val="78414C61"/>
    <w:rsid w:val="78563879"/>
    <w:rsid w:val="785E3361"/>
    <w:rsid w:val="78A23952"/>
    <w:rsid w:val="78B15A36"/>
    <w:rsid w:val="78BC253A"/>
    <w:rsid w:val="78C24C2F"/>
    <w:rsid w:val="78C57641"/>
    <w:rsid w:val="78D6184E"/>
    <w:rsid w:val="78F9378E"/>
    <w:rsid w:val="78FB3062"/>
    <w:rsid w:val="790B2C03"/>
    <w:rsid w:val="790E0FE8"/>
    <w:rsid w:val="7919023C"/>
    <w:rsid w:val="79284A2F"/>
    <w:rsid w:val="794F33AE"/>
    <w:rsid w:val="79587293"/>
    <w:rsid w:val="79750A88"/>
    <w:rsid w:val="79B80F53"/>
    <w:rsid w:val="79BA0D4F"/>
    <w:rsid w:val="79C478F8"/>
    <w:rsid w:val="79CC0BB5"/>
    <w:rsid w:val="79E24222"/>
    <w:rsid w:val="79E4560A"/>
    <w:rsid w:val="79EA1A55"/>
    <w:rsid w:val="79FDBB82"/>
    <w:rsid w:val="7A2D36EF"/>
    <w:rsid w:val="7A342CD0"/>
    <w:rsid w:val="7A4153ED"/>
    <w:rsid w:val="7A6A04A0"/>
    <w:rsid w:val="7A7404A9"/>
    <w:rsid w:val="7AA339B1"/>
    <w:rsid w:val="7AAE0972"/>
    <w:rsid w:val="7B0B2E6E"/>
    <w:rsid w:val="7B130B37"/>
    <w:rsid w:val="7B191EC6"/>
    <w:rsid w:val="7B2E771F"/>
    <w:rsid w:val="7B3867F0"/>
    <w:rsid w:val="7B42766E"/>
    <w:rsid w:val="7B7D2F90"/>
    <w:rsid w:val="7B80502B"/>
    <w:rsid w:val="7B901200"/>
    <w:rsid w:val="7BB120FE"/>
    <w:rsid w:val="7BD06A28"/>
    <w:rsid w:val="7BD721BD"/>
    <w:rsid w:val="7BFE117C"/>
    <w:rsid w:val="7C0861C2"/>
    <w:rsid w:val="7C0E5064"/>
    <w:rsid w:val="7C2A135B"/>
    <w:rsid w:val="7C2D5C29"/>
    <w:rsid w:val="7C613B24"/>
    <w:rsid w:val="7C681C82"/>
    <w:rsid w:val="7C75137E"/>
    <w:rsid w:val="7C855A65"/>
    <w:rsid w:val="7C9A035B"/>
    <w:rsid w:val="7C9B785A"/>
    <w:rsid w:val="7CA659DB"/>
    <w:rsid w:val="7CA91615"/>
    <w:rsid w:val="7CB43C54"/>
    <w:rsid w:val="7CD217DD"/>
    <w:rsid w:val="7CD412AB"/>
    <w:rsid w:val="7CE34539"/>
    <w:rsid w:val="7CFE75C5"/>
    <w:rsid w:val="7D0A4866"/>
    <w:rsid w:val="7D240F5F"/>
    <w:rsid w:val="7D664D81"/>
    <w:rsid w:val="7DA03F10"/>
    <w:rsid w:val="7DC0487A"/>
    <w:rsid w:val="7DD02D0F"/>
    <w:rsid w:val="7DD65E4C"/>
    <w:rsid w:val="7DF764EE"/>
    <w:rsid w:val="7E3F7E95"/>
    <w:rsid w:val="7E97382D"/>
    <w:rsid w:val="7EA85B34"/>
    <w:rsid w:val="7EC65EC0"/>
    <w:rsid w:val="7EE84089"/>
    <w:rsid w:val="7EF86055"/>
    <w:rsid w:val="7F0478F9"/>
    <w:rsid w:val="7F0D3427"/>
    <w:rsid w:val="7F213B20"/>
    <w:rsid w:val="7F41146B"/>
    <w:rsid w:val="7F4C4618"/>
    <w:rsid w:val="7F651B7D"/>
    <w:rsid w:val="7F675C96"/>
    <w:rsid w:val="7F870749"/>
    <w:rsid w:val="7FC05B1E"/>
    <w:rsid w:val="7FFD6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adjustRightInd w:val="0"/>
      <w:jc w:val="distribute"/>
      <w:outlineLvl w:val="0"/>
    </w:pPr>
    <w:rPr>
      <w:rFonts w:eastAsia="文鼎小标宋简"/>
      <w:b/>
      <w:color w:val="FF0000"/>
      <w:kern w:val="44"/>
      <w:sz w:val="72"/>
    </w:rPr>
  </w:style>
  <w:style w:type="paragraph" w:styleId="4">
    <w:name w:val="heading 2"/>
    <w:basedOn w:val="1"/>
    <w:next w:val="1"/>
    <w:link w:val="40"/>
    <w:unhideWhenUsed/>
    <w:qFormat/>
    <w:uiPriority w:val="9"/>
    <w:pPr>
      <w:numPr>
        <w:ilvl w:val="1"/>
        <w:numId w:val="1"/>
      </w:numPr>
      <w:adjustRightInd w:val="0"/>
      <w:snapToGrid w:val="0"/>
      <w:spacing w:before="156" w:beforeLines="50" w:after="156" w:afterLines="50" w:line="560" w:lineRule="exact"/>
      <w:ind w:firstLine="0"/>
      <w:jc w:val="left"/>
      <w:outlineLvl w:val="1"/>
    </w:pPr>
    <w:rPr>
      <w:rFonts w:ascii="仿宋_GB2312" w:hAnsi="方正小标宋_GBK" w:eastAsia="仿宋_GB2312" w:cs="方正小标宋_GBK"/>
      <w:b/>
      <w:sz w:val="28"/>
      <w:szCs w:val="28"/>
    </w:rPr>
  </w:style>
  <w:style w:type="paragraph" w:styleId="5">
    <w:name w:val="heading 3"/>
    <w:basedOn w:val="1"/>
    <w:next w:val="1"/>
    <w:semiHidden/>
    <w:unhideWhenUsed/>
    <w:qFormat/>
    <w:uiPriority w:val="9"/>
    <w:pPr>
      <w:keepNext/>
      <w:keepLines/>
      <w:numPr>
        <w:ilvl w:val="2"/>
        <w:numId w:val="2"/>
      </w:numPr>
      <w:spacing w:line="360" w:lineRule="auto"/>
      <w:jc w:val="left"/>
      <w:outlineLvl w:val="2"/>
    </w:pPr>
    <w:rPr>
      <w:rFonts w:ascii="儷宋 Pro" w:hAnsi="儷宋 Pro" w:eastAsia="方正仿宋_GB2312"/>
      <w:b/>
      <w:szCs w:val="20"/>
    </w:rPr>
  </w:style>
  <w:style w:type="paragraph" w:styleId="6">
    <w:name w:val="heading 4"/>
    <w:basedOn w:val="1"/>
    <w:next w:val="1"/>
    <w:semiHidden/>
    <w:unhideWhenUsed/>
    <w:qFormat/>
    <w:uiPriority w:val="9"/>
    <w:pPr>
      <w:keepNext/>
      <w:keepLines/>
      <w:numPr>
        <w:ilvl w:val="3"/>
        <w:numId w:val="3"/>
      </w:numPr>
      <w:spacing w:line="360" w:lineRule="auto"/>
      <w:outlineLvl w:val="3"/>
    </w:pPr>
    <w:rPr>
      <w:rFonts w:ascii="Arial" w:hAnsi="Arial" w:eastAsia="黑体"/>
      <w:b/>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目录 21"/>
    <w:basedOn w:val="1"/>
    <w:next w:val="1"/>
    <w:qFormat/>
    <w:uiPriority w:val="0"/>
    <w:pPr>
      <w:spacing w:before="100" w:beforeAutospacing="1" w:after="100" w:afterAutospacing="1"/>
      <w:ind w:left="420" w:leftChars="200"/>
    </w:pPr>
  </w:style>
  <w:style w:type="paragraph" w:styleId="7">
    <w:name w:val="Normal Indent"/>
    <w:basedOn w:val="1"/>
    <w:qFormat/>
    <w:uiPriority w:val="99"/>
    <w:pPr>
      <w:spacing w:line="360" w:lineRule="auto"/>
      <w:ind w:firstLine="200" w:firstLineChars="200"/>
    </w:pPr>
    <w:rPr>
      <w:rFonts w:ascii="Calibri" w:hAnsi="Calibri" w:eastAsia="仿宋_GB2312" w:cs="Times New Roman"/>
      <w:sz w:val="24"/>
    </w:rPr>
  </w:style>
  <w:style w:type="paragraph" w:styleId="8">
    <w:name w:val="caption"/>
    <w:basedOn w:val="1"/>
    <w:next w:val="1"/>
    <w:semiHidden/>
    <w:unhideWhenUsed/>
    <w:qFormat/>
    <w:uiPriority w:val="0"/>
    <w:rPr>
      <w:rFonts w:ascii="Arial" w:hAnsi="Arial" w:eastAsia="黑体"/>
      <w:sz w:val="20"/>
    </w:rPr>
  </w:style>
  <w:style w:type="paragraph" w:styleId="9">
    <w:name w:val="annotation text"/>
    <w:basedOn w:val="1"/>
    <w:link w:val="38"/>
    <w:unhideWhenUsed/>
    <w:qFormat/>
    <w:uiPriority w:val="0"/>
    <w:pPr>
      <w:jc w:val="left"/>
    </w:pPr>
  </w:style>
  <w:style w:type="paragraph" w:styleId="10">
    <w:name w:val="Body Text"/>
    <w:basedOn w:val="11"/>
    <w:next w:val="11"/>
    <w:qFormat/>
    <w:uiPriority w:val="0"/>
    <w:pPr>
      <w:spacing w:after="120"/>
    </w:pPr>
  </w:style>
  <w:style w:type="paragraph" w:styleId="11">
    <w:name w:val="Title"/>
    <w:basedOn w:val="1"/>
    <w:next w:val="1"/>
    <w:qFormat/>
    <w:uiPriority w:val="10"/>
    <w:pPr>
      <w:widowControl/>
      <w:adjustRightInd w:val="0"/>
      <w:snapToGrid w:val="0"/>
      <w:spacing w:before="240" w:after="60" w:line="276" w:lineRule="auto"/>
      <w:ind w:firstLine="640" w:firstLineChars="200"/>
      <w:jc w:val="left"/>
      <w:outlineLvl w:val="0"/>
    </w:pPr>
    <w:rPr>
      <w:rFonts w:ascii="Arial" w:hAnsi="Arial" w:eastAsia="黑体" w:cs="Arial"/>
      <w:b/>
      <w:bCs/>
      <w:sz w:val="32"/>
      <w:szCs w:val="32"/>
    </w:rPr>
  </w:style>
  <w:style w:type="paragraph" w:styleId="12">
    <w:name w:val="Plain Text"/>
    <w:basedOn w:val="1"/>
    <w:qFormat/>
    <w:uiPriority w:val="0"/>
    <w:rPr>
      <w:rFonts w:ascii="宋体" w:hAnsi="Courier New"/>
      <w:szCs w:val="20"/>
    </w:rPr>
  </w:style>
  <w:style w:type="paragraph" w:styleId="13">
    <w:name w:val="footer"/>
    <w:basedOn w:val="1"/>
    <w:link w:val="30"/>
    <w:unhideWhenUsed/>
    <w:qFormat/>
    <w:uiPriority w:val="99"/>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39"/>
    <w:pPr>
      <w:spacing w:line="560" w:lineRule="exact"/>
      <w:ind w:firstLine="709"/>
    </w:pPr>
    <w:rPr>
      <w:rFonts w:eastAsia="楷体_GB2312"/>
      <w:sz w:val="28"/>
    </w:rPr>
  </w:style>
  <w:style w:type="paragraph" w:styleId="16">
    <w:name w:val="Body Text 2"/>
    <w:basedOn w:val="1"/>
    <w:semiHidden/>
    <w:unhideWhenUsed/>
    <w:qFormat/>
    <w:uiPriority w:val="99"/>
    <w:pPr>
      <w:spacing w:after="120" w:line="480" w:lineRule="auto"/>
      <w:ind w:firstLine="880" w:firstLineChars="200"/>
    </w:pPr>
    <w:rPr>
      <w:rFonts w:ascii="Times New Roman" w:hAnsi="Times New Roman" w:eastAsia="仿宋_GB2312" w:cs="Times New Roman"/>
      <w:sz w:val="32"/>
    </w:rPr>
  </w:style>
  <w:style w:type="paragraph" w:styleId="17">
    <w:name w:val="Normal (Web)"/>
    <w:basedOn w:val="1"/>
    <w:semiHidden/>
    <w:unhideWhenUsed/>
    <w:qFormat/>
    <w:uiPriority w:val="99"/>
    <w:pPr>
      <w:spacing w:beforeAutospacing="1" w:afterAutospacing="1"/>
      <w:jc w:val="left"/>
    </w:pPr>
    <w:rPr>
      <w:rFonts w:cs="Times New Roman"/>
      <w:kern w:val="0"/>
      <w:sz w:val="24"/>
    </w:rPr>
  </w:style>
  <w:style w:type="paragraph" w:styleId="18">
    <w:name w:val="index 1"/>
    <w:next w:val="1"/>
    <w:unhideWhenUsed/>
    <w:qFormat/>
    <w:uiPriority w:val="99"/>
    <w:pPr>
      <w:widowControl w:val="0"/>
      <w:adjustRightInd w:val="0"/>
      <w:snapToGrid w:val="0"/>
      <w:spacing w:line="360" w:lineRule="auto"/>
      <w:ind w:firstLine="880" w:firstLineChars="200"/>
      <w:jc w:val="both"/>
    </w:pPr>
    <w:rPr>
      <w:rFonts w:ascii="微软雅黑" w:hAnsi="微软雅黑" w:eastAsia="微软雅黑" w:cs="Times New Roman"/>
      <w:kern w:val="2"/>
      <w:sz w:val="21"/>
      <w:szCs w:val="21"/>
      <w:lang w:val="en-US" w:eastAsia="zh-CN" w:bidi="ar-SA"/>
    </w:rPr>
  </w:style>
  <w:style w:type="paragraph" w:styleId="19">
    <w:name w:val="annotation subject"/>
    <w:basedOn w:val="9"/>
    <w:next w:val="9"/>
    <w:link w:val="39"/>
    <w:semiHidden/>
    <w:unhideWhenUsed/>
    <w:qFormat/>
    <w:uiPriority w:val="99"/>
    <w:rPr>
      <w:b/>
      <w:bCs/>
    </w:rPr>
  </w:style>
  <w:style w:type="table" w:styleId="21">
    <w:name w:val="Table Grid"/>
    <w:basedOn w:val="2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Emphasis"/>
    <w:basedOn w:val="22"/>
    <w:qFormat/>
    <w:uiPriority w:val="20"/>
    <w:rPr>
      <w:i/>
    </w:rPr>
  </w:style>
  <w:style w:type="character" w:styleId="25">
    <w:name w:val="Hyperlink"/>
    <w:basedOn w:val="22"/>
    <w:semiHidden/>
    <w:unhideWhenUsed/>
    <w:qFormat/>
    <w:uiPriority w:val="99"/>
    <w:rPr>
      <w:color w:val="0000FF"/>
      <w:u w:val="single"/>
    </w:rPr>
  </w:style>
  <w:style w:type="character" w:styleId="26">
    <w:name w:val="annotation reference"/>
    <w:basedOn w:val="22"/>
    <w:unhideWhenUsed/>
    <w:qFormat/>
    <w:uiPriority w:val="0"/>
    <w:rPr>
      <w:sz w:val="21"/>
      <w:szCs w:val="21"/>
    </w:rPr>
  </w:style>
  <w:style w:type="paragraph" w:customStyle="1" w:styleId="27">
    <w:name w:val="实施方案正文"/>
    <w:basedOn w:val="1"/>
    <w:qFormat/>
    <w:uiPriority w:val="99"/>
    <w:pPr>
      <w:ind w:firstLine="566" w:firstLineChars="202"/>
    </w:pPr>
    <w:rPr>
      <w:szCs w:val="28"/>
    </w:rPr>
  </w:style>
  <w:style w:type="paragraph" w:styleId="28">
    <w:name w:val="List Paragraph"/>
    <w:basedOn w:val="1"/>
    <w:qFormat/>
    <w:uiPriority w:val="34"/>
    <w:pPr>
      <w:ind w:firstLine="420" w:firstLineChars="200"/>
    </w:pPr>
  </w:style>
  <w:style w:type="character" w:customStyle="1" w:styleId="29">
    <w:name w:val="页眉 字符"/>
    <w:basedOn w:val="22"/>
    <w:link w:val="14"/>
    <w:qFormat/>
    <w:uiPriority w:val="99"/>
    <w:rPr>
      <w:sz w:val="18"/>
      <w:szCs w:val="18"/>
    </w:rPr>
  </w:style>
  <w:style w:type="character" w:customStyle="1" w:styleId="30">
    <w:name w:val="页脚 字符"/>
    <w:basedOn w:val="22"/>
    <w:link w:val="13"/>
    <w:qFormat/>
    <w:uiPriority w:val="99"/>
    <w:rPr>
      <w:sz w:val="18"/>
      <w:szCs w:val="18"/>
    </w:rPr>
  </w:style>
  <w:style w:type="paragraph" w:customStyle="1" w:styleId="31">
    <w:name w:val="【正文】"/>
    <w:basedOn w:val="1"/>
    <w:qFormat/>
    <w:uiPriority w:val="0"/>
    <w:pPr>
      <w:adjustRightInd w:val="0"/>
      <w:snapToGrid w:val="0"/>
      <w:spacing w:line="560" w:lineRule="exact"/>
      <w:ind w:firstLine="200" w:firstLineChars="200"/>
    </w:pPr>
    <w:rPr>
      <w:rFonts w:ascii="仿宋_GB2312" w:hAnsi="仿宋_GB2312"/>
    </w:rPr>
  </w:style>
  <w:style w:type="character" w:customStyle="1" w:styleId="32">
    <w:name w:val="NormalCharacter"/>
    <w:qFormat/>
    <w:uiPriority w:val="0"/>
  </w:style>
  <w:style w:type="paragraph" w:customStyle="1" w:styleId="33">
    <w:name w:val="列出段落1"/>
    <w:basedOn w:val="1"/>
    <w:unhideWhenUsed/>
    <w:qFormat/>
    <w:uiPriority w:val="0"/>
    <w:pPr>
      <w:ind w:firstLine="420" w:firstLineChars="200"/>
    </w:pPr>
    <w:rPr>
      <w:rFonts w:hint="eastAsia"/>
    </w:rPr>
  </w:style>
  <w:style w:type="paragraph" w:customStyle="1" w:styleId="34">
    <w:name w:val="列表段落1"/>
    <w:basedOn w:val="1"/>
    <w:qFormat/>
    <w:uiPriority w:val="34"/>
    <w:pPr>
      <w:ind w:firstLine="420" w:firstLineChars="200"/>
    </w:pPr>
  </w:style>
  <w:style w:type="character" w:customStyle="1" w:styleId="35">
    <w:name w:val="fontstyle01"/>
    <w:basedOn w:val="22"/>
    <w:qFormat/>
    <w:uiPriority w:val="0"/>
    <w:rPr>
      <w:rFonts w:hint="eastAsia" w:ascii="仿宋" w:hAnsi="仿宋" w:eastAsia="仿宋"/>
      <w:color w:val="000000"/>
      <w:sz w:val="32"/>
      <w:szCs w:val="32"/>
    </w:rPr>
  </w:style>
  <w:style w:type="character" w:customStyle="1" w:styleId="36">
    <w:name w:val="fontstyle11"/>
    <w:basedOn w:val="22"/>
    <w:qFormat/>
    <w:uiPriority w:val="0"/>
    <w:rPr>
      <w:rFonts w:hint="default" w:ascii="TimesNewRomanPSMT" w:hAnsi="TimesNewRomanPSMT"/>
      <w:color w:val="000000"/>
      <w:sz w:val="32"/>
      <w:szCs w:val="32"/>
    </w:rPr>
  </w:style>
  <w:style w:type="paragraph" w:customStyle="1" w:styleId="3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8">
    <w:name w:val="批注文字 字符"/>
    <w:basedOn w:val="22"/>
    <w:link w:val="9"/>
    <w:qFormat/>
    <w:uiPriority w:val="0"/>
    <w:rPr>
      <w:rFonts w:asciiTheme="minorHAnsi" w:hAnsiTheme="minorHAnsi" w:eastAsiaTheme="minorEastAsia" w:cstheme="minorBidi"/>
      <w:kern w:val="2"/>
      <w:sz w:val="21"/>
      <w:szCs w:val="22"/>
    </w:rPr>
  </w:style>
  <w:style w:type="character" w:customStyle="1" w:styleId="39">
    <w:name w:val="批注主题 字符"/>
    <w:basedOn w:val="38"/>
    <w:link w:val="19"/>
    <w:semiHidden/>
    <w:qFormat/>
    <w:uiPriority w:val="99"/>
    <w:rPr>
      <w:rFonts w:asciiTheme="minorHAnsi" w:hAnsiTheme="minorHAnsi" w:eastAsiaTheme="minorEastAsia" w:cstheme="minorBidi"/>
      <w:b/>
      <w:bCs/>
      <w:kern w:val="2"/>
      <w:sz w:val="21"/>
      <w:szCs w:val="22"/>
    </w:rPr>
  </w:style>
  <w:style w:type="character" w:customStyle="1" w:styleId="40">
    <w:name w:val="标题 2 字符"/>
    <w:link w:val="4"/>
    <w:qFormat/>
    <w:uiPriority w:val="0"/>
    <w:rPr>
      <w:rFonts w:ascii="仿宋_GB2312" w:hAnsi="方正小标宋_GBK" w:eastAsia="仿宋_GB2312" w:cs="方正小标宋_GBK"/>
      <w:b/>
      <w:sz w:val="28"/>
      <w:szCs w:val="28"/>
    </w:rPr>
  </w:style>
  <w:style w:type="paragraph" w:customStyle="1" w:styleId="41">
    <w:name w:val="Table Paragraph"/>
    <w:basedOn w:val="1"/>
    <w:qFormat/>
    <w:uiPriority w:val="1"/>
    <w:pPr>
      <w:autoSpaceDE w:val="0"/>
      <w:autoSpaceDN w:val="0"/>
      <w:jc w:val="left"/>
    </w:pPr>
    <w:rPr>
      <w:rFonts w:ascii="宋体" w:hAnsi="宋体" w:cs="宋体"/>
      <w:kern w:val="0"/>
      <w:sz w:val="22"/>
      <w:lang w:eastAsia="en-US"/>
    </w:rPr>
  </w:style>
  <w:style w:type="paragraph" w:customStyle="1" w:styleId="42">
    <w:name w:val="Table Text"/>
    <w:basedOn w:val="1"/>
    <w:semiHidden/>
    <w:qFormat/>
    <w:uiPriority w:val="0"/>
    <w:rPr>
      <w:rFonts w:ascii="宋体" w:hAnsi="宋体" w:eastAsia="宋体" w:cs="宋体"/>
      <w:sz w:val="19"/>
      <w:szCs w:val="19"/>
      <w:lang w:eastAsia="en-US"/>
    </w:rPr>
  </w:style>
  <w:style w:type="table" w:customStyle="1" w:styleId="43">
    <w:name w:val="Table Normal_0"/>
    <w:basedOn w:val="20"/>
    <w:semiHidden/>
    <w:unhideWhenUsed/>
    <w:qFormat/>
    <w:uiPriority w:val="0"/>
    <w:tblPr>
      <w:tblCellMar>
        <w:left w:w="0" w:type="dxa"/>
        <w:right w:w="0" w:type="dxa"/>
      </w:tblCellMar>
    </w:tblPr>
  </w:style>
  <w:style w:type="character" w:customStyle="1" w:styleId="44">
    <w:name w:val="font11"/>
    <w:basedOn w:val="22"/>
    <w:qFormat/>
    <w:uiPriority w:val="0"/>
    <w:rPr>
      <w:rFonts w:hint="eastAsia" w:ascii="微软雅黑" w:hAnsi="微软雅黑" w:eastAsia="微软雅黑" w:cs="微软雅黑"/>
      <w:color w:val="000000"/>
      <w:sz w:val="22"/>
      <w:szCs w:val="22"/>
      <w:u w:val="none"/>
    </w:rPr>
  </w:style>
  <w:style w:type="character" w:customStyle="1" w:styleId="45">
    <w:name w:val="font21"/>
    <w:basedOn w:val="22"/>
    <w:qFormat/>
    <w:uiPriority w:val="0"/>
    <w:rPr>
      <w:rFonts w:hint="eastAsia" w:ascii="微软雅黑" w:hAnsi="微软雅黑" w:eastAsia="微软雅黑" w:cs="微软雅黑"/>
      <w:color w:val="C00000"/>
      <w:sz w:val="22"/>
      <w:szCs w:val="22"/>
      <w:u w:val="none"/>
    </w:rPr>
  </w:style>
  <w:style w:type="character" w:customStyle="1" w:styleId="46">
    <w:name w:val="font31"/>
    <w:basedOn w:val="22"/>
    <w:qFormat/>
    <w:uiPriority w:val="0"/>
    <w:rPr>
      <w:rFonts w:hint="eastAsia" w:ascii="微软雅黑" w:hAnsi="微软雅黑" w:eastAsia="微软雅黑" w:cs="微软雅黑"/>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png"/><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w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650C4D-C31C-4B04-AFBD-A0EBEE0B9F2B}">
  <ds:schemaRefs/>
</ds:datastoreItem>
</file>

<file path=docProps/app.xml><?xml version="1.0" encoding="utf-8"?>
<Properties xmlns="http://schemas.openxmlformats.org/officeDocument/2006/extended-properties" xmlns:vt="http://schemas.openxmlformats.org/officeDocument/2006/docPropsVTypes">
  <Template>Normal.dotm</Template>
  <Pages>70</Pages>
  <Words>24647</Words>
  <Characters>27180</Characters>
  <Lines>1405</Lines>
  <Paragraphs>1059</Paragraphs>
  <TotalTime>16</TotalTime>
  <ScaleCrop>false</ScaleCrop>
  <LinksUpToDate>false</LinksUpToDate>
  <CharactersWithSpaces>28487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2023-02-06T14:43:00Z</dcterms:created>
  <dc:creator>Jiang Bin</dc:creator>
  <cp:lastModifiedBy>shane</cp:lastModifiedBy>
  <dcterms:modified xsi:type="dcterms:W3CDTF">2026-03-17T02:00:48Z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AEC12B19E15C46C68F241EC98683EBA4_13</vt:lpwstr>
  </property>
  <property fmtid="{D5CDD505-2E9C-101B-9397-08002B2CF9AE}" pid="3" name="KSOProductBuildVer">
    <vt:lpwstr>2052-12.1.0.25225</vt:lpwstr>
  </property>
  <property fmtid="{D5CDD505-2E9C-101B-9397-08002B2CF9AE}" pid="4" name="KSOSaveFontToCloudKey">
    <vt:lpwstr>303219646_cloud</vt:lpwstr>
  </property>
  <property fmtid="{D5CDD505-2E9C-101B-9397-08002B2CF9AE}" pid="5" name="KSOTemplateDocerSaveRecord">
    <vt:lpwstr>eyJoZGlkIjoiYzUzYWNhMDI1ZTgzNTYwNjI5ZThmYTE0ZjI5NGUzZTEiLCJ1c2VySWQiOiIzMzkwMjEwNDEifQ==</vt:lpwstr>
  </property>
</Properties>
</file>